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4A2A7" w14:textId="28E6B8B7" w:rsidR="00C715EC" w:rsidRPr="000D216A" w:rsidRDefault="00011B4B">
      <w:pPr>
        <w:rPr>
          <w:rFonts w:ascii="Open Sans" w:hAnsi="Open Sans" w:cs="Open Sans"/>
          <w:sz w:val="36"/>
        </w:rPr>
      </w:pPr>
      <w:r w:rsidRPr="000D216A">
        <w:rPr>
          <w:rFonts w:ascii="Open Sans" w:hAnsi="Open Sans" w:cs="Open Sans"/>
          <w:noProof/>
          <w:sz w:val="30"/>
        </w:rPr>
        <w:drawing>
          <wp:anchor distT="0" distB="0" distL="114300" distR="114300" simplePos="0" relativeHeight="251658240" behindDoc="0" locked="0" layoutInCell="1" allowOverlap="1" wp14:anchorId="14629CC4" wp14:editId="2624DAA1">
            <wp:simplePos x="0" y="0"/>
            <wp:positionH relativeFrom="margin">
              <wp:posOffset>3964305</wp:posOffset>
            </wp:positionH>
            <wp:positionV relativeFrom="paragraph">
              <wp:posOffset>-703580</wp:posOffset>
            </wp:positionV>
            <wp:extent cx="2300073" cy="342900"/>
            <wp:effectExtent l="0" t="0" r="508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0073" cy="3429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0D216A" w:rsidRPr="000D216A">
        <w:rPr>
          <w:rFonts w:ascii="Open Sans" w:hAnsi="Open Sans" w:cs="Open Sans"/>
          <w:noProof/>
          <w:sz w:val="30"/>
        </w:rPr>
        <w:t>Offsite Records Storage Cost Reduction Strategies</w:t>
      </w:r>
    </w:p>
    <w:p w14:paraId="70A0CE23" w14:textId="77777777" w:rsidR="00795C37" w:rsidRPr="000D216A" w:rsidRDefault="002E5C55">
      <w:pPr>
        <w:rPr>
          <w:rFonts w:ascii="Open Sans" w:hAnsi="Open Sans" w:cs="Open Sans"/>
          <w:sz w:val="24"/>
        </w:rPr>
      </w:pPr>
      <w:r w:rsidRPr="000D216A">
        <w:rPr>
          <w:rFonts w:ascii="Open Sans" w:hAnsi="Open Sans" w:cs="Open Sans"/>
          <w:sz w:val="24"/>
        </w:rPr>
        <w:t>December</w:t>
      </w:r>
      <w:r w:rsidR="002A5488" w:rsidRPr="000D216A">
        <w:rPr>
          <w:rFonts w:ascii="Open Sans" w:hAnsi="Open Sans" w:cs="Open Sans"/>
          <w:sz w:val="24"/>
        </w:rPr>
        <w:t xml:space="preserve"> 201</w:t>
      </w:r>
      <w:r w:rsidR="004822EA" w:rsidRPr="000D216A">
        <w:rPr>
          <w:rFonts w:ascii="Open Sans" w:hAnsi="Open Sans" w:cs="Open Sans"/>
          <w:sz w:val="24"/>
        </w:rPr>
        <w:t>8</w:t>
      </w:r>
    </w:p>
    <w:p w14:paraId="0026EFAF" w14:textId="31AE371D" w:rsidR="00B66BB6" w:rsidRPr="000D216A" w:rsidRDefault="00BB1674" w:rsidP="00B66BB6">
      <w:pPr>
        <w:rPr>
          <w:rFonts w:ascii="Open Sans" w:hAnsi="Open Sans" w:cs="Open Sans"/>
          <w:sz w:val="24"/>
        </w:rPr>
      </w:pPr>
      <w:r w:rsidRPr="000D216A">
        <w:rPr>
          <w:rFonts w:ascii="Open Sans" w:hAnsi="Open Sans" w:cs="Open Sans"/>
          <w:noProof/>
          <w:sz w:val="18"/>
        </w:rPr>
        <mc:AlternateContent>
          <mc:Choice Requires="wps">
            <w:drawing>
              <wp:anchor distT="45720" distB="45720" distL="114300" distR="114300" simplePos="0" relativeHeight="251660288" behindDoc="0" locked="0" layoutInCell="1" allowOverlap="1" wp14:anchorId="6EE41AA4" wp14:editId="3FDF02B5">
                <wp:simplePos x="0" y="0"/>
                <wp:positionH relativeFrom="margin">
                  <wp:align>right</wp:align>
                </wp:positionH>
                <wp:positionV relativeFrom="paragraph">
                  <wp:posOffset>355600</wp:posOffset>
                </wp:positionV>
                <wp:extent cx="5928360" cy="8382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838200"/>
                        </a:xfrm>
                        <a:prstGeom prst="rect">
                          <a:avLst/>
                        </a:prstGeom>
                        <a:solidFill>
                          <a:srgbClr val="FFFFFF"/>
                        </a:solidFill>
                        <a:ln w="9525">
                          <a:solidFill>
                            <a:srgbClr val="000000"/>
                          </a:solidFill>
                          <a:miter lim="800000"/>
                          <a:headEnd/>
                          <a:tailEnd/>
                        </a:ln>
                      </wps:spPr>
                      <wps:txbx>
                        <w:txbxContent>
                          <w:p w14:paraId="09AA57A3" w14:textId="77777777" w:rsidR="00617F3C" w:rsidRPr="00BB1674" w:rsidRDefault="00617F3C" w:rsidP="00BB1674">
                            <w:pPr>
                              <w:rPr>
                                <w:sz w:val="18"/>
                              </w:rPr>
                            </w:pPr>
                            <w:r w:rsidRPr="00BB1674">
                              <w:rPr>
                                <w:sz w:val="18"/>
                              </w:rPr>
                              <w:t>Contoural provides information regarding business, compliance and litigation trends and issues for educational and planning purposes. However, legal information is not the same as legal advice</w:t>
                            </w:r>
                            <w:r>
                              <w:rPr>
                                <w:sz w:val="18"/>
                              </w:rPr>
                              <w:t xml:space="preserve"> – </w:t>
                            </w:r>
                            <w:r w:rsidRPr="00BB1674">
                              <w:rPr>
                                <w:sz w:val="18"/>
                              </w:rPr>
                              <w:t>the application of law to an individual or organization's specific circumstances. Contoural and its consultants do not provide legal advice. Readers should consult with competent legal counsel for professional assurance that our information, and any interpretation of it, is appropriate to each reader’s situation</w:t>
                            </w:r>
                            <w:r>
                              <w:rPr>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41AA4" id="_x0000_t202" coordsize="21600,21600" o:spt="202" path="m,l,21600r21600,l21600,xe">
                <v:stroke joinstyle="miter"/>
                <v:path gradientshapeok="t" o:connecttype="rect"/>
              </v:shapetype>
              <v:shape id="Text Box 2" o:spid="_x0000_s1026" type="#_x0000_t202" style="position:absolute;margin-left:415.6pt;margin-top:28pt;width:466.8pt;height:66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">
                <v:textbox>
                  <w:txbxContent>
                    <w:p w14:paraId="09AA57A3" w14:textId="77777777" w:rsidR="00617F3C" w:rsidRPr="00BB1674" w:rsidRDefault="00617F3C" w:rsidP="00BB1674">
                      <w:pPr>
                        <w:rPr>
                          <w:sz w:val="18"/>
                        </w:rPr>
                      </w:pPr>
                      <w:r w:rsidRPr="00BB1674">
                        <w:rPr>
                          <w:sz w:val="18"/>
                        </w:rPr>
                        <w:t>Contoural provides information regarding business, compliance and litigation trends and issues for educational and planning purposes. However, legal information is not the same as legal advice</w:t>
                      </w:r>
                      <w:r>
                        <w:rPr>
                          <w:sz w:val="18"/>
                        </w:rPr>
                        <w:t xml:space="preserve"> – </w:t>
                      </w:r>
                      <w:r w:rsidRPr="00BB1674">
                        <w:rPr>
                          <w:sz w:val="18"/>
                        </w:rPr>
                        <w:t>the application of law to an individual or organization's specific circumstances. Contoural and its consultants do not provide legal advice. Readers should consult with competent legal counsel for professional assurance that our information, and any interpretation of it, is appropriate to each reader’s situation</w:t>
                      </w:r>
                      <w:r>
                        <w:rPr>
                          <w:sz w:val="18"/>
                        </w:rPr>
                        <w:t>.</w:t>
                      </w:r>
                    </w:p>
                  </w:txbxContent>
                </v:textbox>
                <w10:wrap type="square" anchorx="margin"/>
              </v:shape>
            </w:pict>
          </mc:Fallback>
        </mc:AlternateContent>
      </w:r>
      <w:r w:rsidR="00011B4B" w:rsidRPr="000D216A">
        <w:rPr>
          <w:rFonts w:ascii="Open Sans" w:hAnsi="Open Sans" w:cs="Open Sans"/>
          <w:sz w:val="24"/>
        </w:rPr>
        <w:t>Mark Diamond, CEO &amp; Founder, Contoural, Inc.</w:t>
      </w:r>
    </w:p>
    <w:p w14:paraId="36766782" w14:textId="776DA7A3" w:rsidR="000D216A" w:rsidRPr="000D216A" w:rsidRDefault="000D216A" w:rsidP="00B66BB6">
      <w:pPr>
        <w:rPr>
          <w:rFonts w:ascii="Open Sans" w:hAnsi="Open Sans" w:cs="Open Sans"/>
        </w:rPr>
      </w:pPr>
    </w:p>
    <w:p w14:paraId="5788DB27" w14:textId="77777777" w:rsidR="000D216A" w:rsidRPr="000D216A" w:rsidRDefault="000D216A" w:rsidP="000D216A">
      <w:pPr>
        <w:rPr>
          <w:rFonts w:ascii="Open Sans" w:hAnsi="Open Sans" w:cs="Open Sans"/>
        </w:rPr>
      </w:pPr>
      <w:r w:rsidRPr="000D216A">
        <w:rPr>
          <w:rFonts w:ascii="Open Sans" w:hAnsi="Open Sans" w:cs="Open Sans"/>
        </w:rPr>
        <w:t xml:space="preserve">Despite spending billions on office automation technology to facilitate the adoption of digital documents, organizations still create and store a large but decreasing amount of paper. Even with paper storage volumes decreasing, offsite paper storage costs continue to </w:t>
      </w:r>
      <w:proofErr w:type="gramStart"/>
      <w:r w:rsidRPr="000D216A">
        <w:rPr>
          <w:rFonts w:ascii="Open Sans" w:hAnsi="Open Sans" w:cs="Open Sans"/>
        </w:rPr>
        <w:t>grow</w:t>
      </w:r>
      <w:proofErr w:type="gramEnd"/>
      <w:r w:rsidRPr="000D216A">
        <w:rPr>
          <w:rFonts w:ascii="Open Sans" w:hAnsi="Open Sans" w:cs="Open Sans"/>
        </w:rPr>
        <w:t xml:space="preserve"> and vendors continue to see their revenues increase at nearly 10% per year with profits growing even faster. Successful in squeezing more fees out of less paper storage through complicated storage contracts, these companies are successful at extracting high fees from a declining market. Punitive removal fees make switching vendors difficult. Making matters worse, poor, error-prone billing practices and complex invoices that are difficult to reconcile with a contract also add to these increases. At a time when most companies expect to spend less on paper storage, they are often spending more. </w:t>
      </w:r>
    </w:p>
    <w:p w14:paraId="384C4AF9" w14:textId="77777777" w:rsidR="000D216A" w:rsidRPr="0019236B" w:rsidRDefault="000D216A" w:rsidP="000D216A">
      <w:pPr>
        <w:pStyle w:val="Heading2"/>
        <w:keepLines w:val="0"/>
        <w:spacing w:before="480" w:after="120" w:line="276" w:lineRule="auto"/>
        <w:rPr>
          <w:rFonts w:ascii="Open Sans" w:hAnsi="Open Sans" w:cs="Open Sans"/>
          <w:b/>
        </w:rPr>
      </w:pPr>
      <w:bookmarkStart w:id="0" w:name="_Toc523473987"/>
      <w:r w:rsidRPr="0019236B">
        <w:rPr>
          <w:rFonts w:ascii="Open Sans" w:hAnsi="Open Sans" w:cs="Open Sans"/>
          <w:b/>
        </w:rPr>
        <w:t>Top Three Reasons Offsite Storage Costs are Increasing</w:t>
      </w:r>
      <w:bookmarkEnd w:id="0"/>
    </w:p>
    <w:p w14:paraId="61E50A32" w14:textId="77777777" w:rsidR="000D216A" w:rsidRPr="000D216A" w:rsidRDefault="000D216A" w:rsidP="000D216A">
      <w:pPr>
        <w:rPr>
          <w:rFonts w:ascii="Open Sans" w:hAnsi="Open Sans" w:cs="Open Sans"/>
        </w:rPr>
      </w:pPr>
      <w:r w:rsidRPr="0019236B">
        <w:rPr>
          <w:rFonts w:ascii="Open Sans" w:hAnsi="Open Sans" w:cs="Open Sans"/>
          <w:i/>
        </w:rPr>
        <w:t>Shift to Ancillary Fees</w:t>
      </w:r>
      <w:r w:rsidRPr="000D216A">
        <w:rPr>
          <w:rFonts w:ascii="Open Sans" w:hAnsi="Open Sans" w:cs="Open Sans"/>
        </w:rPr>
        <w:t xml:space="preserve"> – While in many cases the average monthly storage fee per box is decreasing to support revenues, vendors have shifted to ancillary administrative fees. Similar to how airlines now make much of their profit on baggage and other extra fees, the record storage companies have followed the same game plan. For example, every time a vendor touches a box for inventory, retrieval, or destruction there are multiple fees and usage transactions. These fees are often deeply hidden in contract language, and while at first glance may appear somewhat immaterial, in reality, they can comprise the bulk of a monthly bill. Today the actual amount spent on offsite record storage can represent as little as 20% of total fees. The other 80% represent a variety of other charges.</w:t>
      </w:r>
    </w:p>
    <w:p w14:paraId="2AC514E7" w14:textId="77777777" w:rsidR="000D216A" w:rsidRPr="000D216A" w:rsidRDefault="000D216A" w:rsidP="000D216A">
      <w:pPr>
        <w:rPr>
          <w:rFonts w:ascii="Open Sans" w:hAnsi="Open Sans" w:cs="Open Sans"/>
        </w:rPr>
      </w:pPr>
      <w:r w:rsidRPr="0019236B">
        <w:rPr>
          <w:rFonts w:ascii="Open Sans" w:hAnsi="Open Sans" w:cs="Open Sans"/>
          <w:i/>
        </w:rPr>
        <w:t>Vendor-favored Billing Inaccuracies</w:t>
      </w:r>
      <w:r w:rsidRPr="000D216A">
        <w:rPr>
          <w:rFonts w:ascii="Open Sans" w:hAnsi="Open Sans" w:cs="Open Sans"/>
          <w:b/>
          <w:i/>
        </w:rPr>
        <w:t xml:space="preserve"> </w:t>
      </w:r>
      <w:r w:rsidRPr="000D216A">
        <w:rPr>
          <w:rFonts w:ascii="Open Sans" w:hAnsi="Open Sans" w:cs="Open Sans"/>
        </w:rPr>
        <w:t xml:space="preserve">– Obsolete billing systems have created an unforeseen windfall for vendors. Reviews of customer invoices have uncovered steep billing error rates, with more than 50% of typical invoices containing errors, resulting in overcharges of up to 35%. </w:t>
      </w:r>
    </w:p>
    <w:p w14:paraId="65BFBB9B" w14:textId="77777777" w:rsidR="000D216A" w:rsidRPr="000D216A" w:rsidRDefault="000D216A" w:rsidP="000D216A">
      <w:pPr>
        <w:rPr>
          <w:rFonts w:ascii="Open Sans" w:hAnsi="Open Sans" w:cs="Open Sans"/>
        </w:rPr>
      </w:pPr>
      <w:r w:rsidRPr="0019236B">
        <w:rPr>
          <w:rFonts w:ascii="Open Sans" w:hAnsi="Open Sans" w:cs="Open Sans"/>
          <w:i/>
        </w:rPr>
        <w:lastRenderedPageBreak/>
        <w:t>Stranded Boxes</w:t>
      </w:r>
      <w:r w:rsidRPr="000D216A">
        <w:rPr>
          <w:rFonts w:ascii="Open Sans" w:hAnsi="Open Sans" w:cs="Open Sans"/>
          <w:b/>
          <w:i/>
        </w:rPr>
        <w:t xml:space="preserve"> </w:t>
      </w:r>
      <w:r w:rsidRPr="000D216A">
        <w:rPr>
          <w:rFonts w:ascii="Open Sans" w:hAnsi="Open Sans" w:cs="Open Sans"/>
        </w:rPr>
        <w:t>– Most organizations discover that 40% (or more) of their paper documents are either redundant, obsolete or trivial (in that those records need not be retained) or have been kept past their retention schedule date.  In short, companies pay offsite vendors millions of dollars per month for content that shouldn’t have been stored in the first place.</w:t>
      </w:r>
    </w:p>
    <w:p w14:paraId="078D1369" w14:textId="77777777" w:rsidR="000D216A" w:rsidRPr="0019236B" w:rsidRDefault="000D216A" w:rsidP="0019236B">
      <w:pPr>
        <w:pStyle w:val="Heading2"/>
        <w:keepLines w:val="0"/>
        <w:spacing w:before="480" w:after="120" w:line="276" w:lineRule="auto"/>
        <w:rPr>
          <w:rFonts w:ascii="Open Sans" w:hAnsi="Open Sans" w:cs="Open Sans"/>
          <w:b/>
          <w:bCs/>
        </w:rPr>
      </w:pPr>
      <w:bookmarkStart w:id="1" w:name="_Toc523473988"/>
      <w:r w:rsidRPr="0019236B">
        <w:rPr>
          <w:rFonts w:ascii="Open Sans" w:hAnsi="Open Sans" w:cs="Open Sans"/>
          <w:b/>
          <w:bCs/>
        </w:rPr>
        <w:t>Reducing Ongoing Storage Costs</w:t>
      </w:r>
      <w:bookmarkEnd w:id="1"/>
    </w:p>
    <w:tbl>
      <w:tblPr>
        <w:tblStyle w:val="GridTable4-Accent11"/>
        <w:tblpPr w:leftFromText="180" w:rightFromText="180" w:vertAnchor="page" w:horzAnchor="margin" w:tblpY="3171"/>
        <w:tblW w:w="9445" w:type="dxa"/>
        <w:tblLook w:val="04A0" w:firstRow="1" w:lastRow="0" w:firstColumn="1" w:lastColumn="0" w:noHBand="0" w:noVBand="1"/>
      </w:tblPr>
      <w:tblGrid>
        <w:gridCol w:w="3574"/>
        <w:gridCol w:w="2756"/>
        <w:gridCol w:w="3115"/>
      </w:tblGrid>
      <w:tr w:rsidR="0019236B" w:rsidRPr="000D216A" w14:paraId="07B27DC1" w14:textId="77777777" w:rsidTr="001923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4" w:type="dxa"/>
          </w:tcPr>
          <w:p w14:paraId="7CBF6058" w14:textId="77777777" w:rsidR="0019236B" w:rsidRPr="000D216A" w:rsidRDefault="0019236B" w:rsidP="0019236B">
            <w:pPr>
              <w:spacing w:after="240"/>
              <w:rPr>
                <w:rFonts w:ascii="Open Sans" w:hAnsi="Open Sans" w:cs="Open Sans"/>
                <w:noProof/>
                <w:sz w:val="20"/>
                <w:szCs w:val="20"/>
              </w:rPr>
            </w:pPr>
            <w:r w:rsidRPr="000D216A">
              <w:rPr>
                <w:rFonts w:ascii="Open Sans" w:hAnsi="Open Sans" w:cs="Open Sans"/>
                <w:noProof/>
                <w:sz w:val="20"/>
                <w:szCs w:val="20"/>
              </w:rPr>
              <w:t>Storage Costs</w:t>
            </w:r>
          </w:p>
        </w:tc>
        <w:tc>
          <w:tcPr>
            <w:tcW w:w="2756" w:type="dxa"/>
          </w:tcPr>
          <w:p w14:paraId="54E00FF2" w14:textId="77777777" w:rsidR="0019236B" w:rsidRPr="000D216A" w:rsidRDefault="0019236B" w:rsidP="0019236B">
            <w:pPr>
              <w:spacing w:after="240"/>
              <w:cnfStyle w:val="100000000000" w:firstRow="1" w:lastRow="0" w:firstColumn="0" w:lastColumn="0" w:oddVBand="0" w:evenVBand="0" w:oddHBand="0"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Billing Fees</w:t>
            </w:r>
          </w:p>
        </w:tc>
        <w:tc>
          <w:tcPr>
            <w:tcW w:w="3115" w:type="dxa"/>
          </w:tcPr>
          <w:p w14:paraId="32D09A0C" w14:textId="77777777" w:rsidR="0019236B" w:rsidRPr="000D216A" w:rsidRDefault="0019236B" w:rsidP="0019236B">
            <w:pPr>
              <w:spacing w:after="240"/>
              <w:cnfStyle w:val="100000000000" w:firstRow="1" w:lastRow="0" w:firstColumn="0" w:lastColumn="0" w:oddVBand="0" w:evenVBand="0" w:oddHBand="0"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Management Fees</w:t>
            </w:r>
          </w:p>
        </w:tc>
      </w:tr>
      <w:tr w:rsidR="0019236B" w:rsidRPr="000D216A" w14:paraId="08761C15" w14:textId="77777777" w:rsidTr="0019236B">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58EFBD9" w14:textId="77777777" w:rsidR="0019236B" w:rsidRPr="000D216A" w:rsidRDefault="0019236B" w:rsidP="0019236B">
            <w:pPr>
              <w:rPr>
                <w:rFonts w:ascii="Open Sans" w:hAnsi="Open Sans" w:cs="Open Sans"/>
                <w:b w:val="0"/>
                <w:noProof/>
                <w:sz w:val="20"/>
                <w:szCs w:val="20"/>
              </w:rPr>
            </w:pPr>
            <w:r w:rsidRPr="000D216A">
              <w:rPr>
                <w:rFonts w:ascii="Open Sans" w:hAnsi="Open Sans" w:cs="Open Sans"/>
                <w:b w:val="0"/>
                <w:noProof/>
                <w:sz w:val="20"/>
                <w:szCs w:val="20"/>
              </w:rPr>
              <w:t>Box retrieval/access</w:t>
            </w:r>
          </w:p>
        </w:tc>
        <w:tc>
          <w:tcPr>
            <w:tcW w:w="27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960B083" w14:textId="77777777" w:rsidR="0019236B" w:rsidRPr="000D216A" w:rsidRDefault="0019236B" w:rsidP="0019236B">
            <w:pPr>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Fuel surcharges</w:t>
            </w:r>
          </w:p>
        </w:tc>
        <w:tc>
          <w:tcPr>
            <w:tcW w:w="31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D607505" w14:textId="77777777" w:rsidR="0019236B" w:rsidRPr="000D216A" w:rsidRDefault="0019236B" w:rsidP="0019236B">
            <w:pPr>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Online access</w:t>
            </w:r>
          </w:p>
        </w:tc>
      </w:tr>
      <w:tr w:rsidR="0019236B" w:rsidRPr="000D216A" w14:paraId="7469A5DD" w14:textId="77777777" w:rsidTr="0019236B">
        <w:tc>
          <w:tcPr>
            <w:cnfStyle w:val="001000000000" w:firstRow="0" w:lastRow="0" w:firstColumn="1" w:lastColumn="0" w:oddVBand="0" w:evenVBand="0" w:oddHBand="0" w:evenHBand="0" w:firstRowFirstColumn="0" w:firstRowLastColumn="0" w:lastRowFirstColumn="0" w:lastRowLastColumn="0"/>
            <w:tcW w:w="35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6200E3F" w14:textId="77777777" w:rsidR="0019236B" w:rsidRPr="000D216A" w:rsidRDefault="0019236B" w:rsidP="0019236B">
            <w:pPr>
              <w:rPr>
                <w:rFonts w:ascii="Open Sans" w:hAnsi="Open Sans" w:cs="Open Sans"/>
                <w:b w:val="0"/>
                <w:noProof/>
                <w:sz w:val="20"/>
                <w:szCs w:val="20"/>
              </w:rPr>
            </w:pPr>
            <w:r w:rsidRPr="000D216A">
              <w:rPr>
                <w:rFonts w:ascii="Open Sans" w:hAnsi="Open Sans" w:cs="Open Sans"/>
                <w:b w:val="0"/>
                <w:noProof/>
                <w:sz w:val="20"/>
                <w:szCs w:val="20"/>
              </w:rPr>
              <w:t>Box removal</w:t>
            </w:r>
          </w:p>
        </w:tc>
        <w:tc>
          <w:tcPr>
            <w:tcW w:w="27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6CF5EB5" w14:textId="77777777" w:rsidR="0019236B" w:rsidRPr="000D216A" w:rsidRDefault="0019236B" w:rsidP="0019236B">
            <w:pPr>
              <w:cnfStyle w:val="000000000000" w:firstRow="0" w:lastRow="0" w:firstColumn="0" w:lastColumn="0" w:oddVBand="0" w:evenVBand="0" w:oddHBand="0"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Itemized invoice</w:t>
            </w:r>
          </w:p>
        </w:tc>
        <w:tc>
          <w:tcPr>
            <w:tcW w:w="31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C70F4BC" w14:textId="77777777" w:rsidR="0019236B" w:rsidRPr="000D216A" w:rsidRDefault="0019236B" w:rsidP="0019236B">
            <w:pPr>
              <w:cnfStyle w:val="000000000000" w:firstRow="0" w:lastRow="0" w:firstColumn="0" w:lastColumn="0" w:oddVBand="0" w:evenVBand="0" w:oddHBand="0"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Box inventory list management</w:t>
            </w:r>
          </w:p>
        </w:tc>
      </w:tr>
      <w:tr w:rsidR="0019236B" w:rsidRPr="000D216A" w14:paraId="4062C021" w14:textId="77777777" w:rsidTr="00192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40CF9C3" w14:textId="77777777" w:rsidR="0019236B" w:rsidRPr="000D216A" w:rsidRDefault="0019236B" w:rsidP="0019236B">
            <w:pPr>
              <w:rPr>
                <w:rFonts w:ascii="Open Sans" w:hAnsi="Open Sans" w:cs="Open Sans"/>
                <w:b w:val="0"/>
                <w:noProof/>
                <w:sz w:val="20"/>
                <w:szCs w:val="20"/>
              </w:rPr>
            </w:pPr>
            <w:r w:rsidRPr="000D216A">
              <w:rPr>
                <w:rFonts w:ascii="Open Sans" w:hAnsi="Open Sans" w:cs="Open Sans"/>
                <w:b w:val="0"/>
                <w:noProof/>
                <w:sz w:val="20"/>
                <w:szCs w:val="20"/>
              </w:rPr>
              <w:t>Permanent box removal (e.g., if moving to a new facility or destroying old records)</w:t>
            </w:r>
          </w:p>
        </w:tc>
        <w:tc>
          <w:tcPr>
            <w:tcW w:w="27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0D665A9" w14:textId="77777777" w:rsidR="0019236B" w:rsidRPr="000D216A" w:rsidRDefault="0019236B" w:rsidP="0019236B">
            <w:pPr>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Invoice by department</w:t>
            </w:r>
          </w:p>
        </w:tc>
        <w:tc>
          <w:tcPr>
            <w:tcW w:w="31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C06EA99" w14:textId="77777777" w:rsidR="0019236B" w:rsidRPr="000D216A" w:rsidRDefault="0019236B" w:rsidP="0019236B">
            <w:pPr>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Onsite room use</w:t>
            </w:r>
          </w:p>
        </w:tc>
      </w:tr>
      <w:tr w:rsidR="0019236B" w:rsidRPr="000D216A" w14:paraId="3D9CE21D" w14:textId="77777777" w:rsidTr="0019236B">
        <w:tc>
          <w:tcPr>
            <w:cnfStyle w:val="001000000000" w:firstRow="0" w:lastRow="0" w:firstColumn="1" w:lastColumn="0" w:oddVBand="0" w:evenVBand="0" w:oddHBand="0" w:evenHBand="0" w:firstRowFirstColumn="0" w:firstRowLastColumn="0" w:lastRowFirstColumn="0" w:lastRowLastColumn="0"/>
            <w:tcW w:w="35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77195F2" w14:textId="77777777" w:rsidR="0019236B" w:rsidRPr="000D216A" w:rsidRDefault="0019236B" w:rsidP="0019236B">
            <w:pPr>
              <w:rPr>
                <w:rFonts w:ascii="Open Sans" w:hAnsi="Open Sans" w:cs="Open Sans"/>
                <w:b w:val="0"/>
                <w:noProof/>
                <w:sz w:val="20"/>
                <w:szCs w:val="20"/>
              </w:rPr>
            </w:pPr>
            <w:r w:rsidRPr="000D216A">
              <w:rPr>
                <w:rFonts w:ascii="Open Sans" w:hAnsi="Open Sans" w:cs="Open Sans"/>
                <w:b w:val="0"/>
                <w:noProof/>
                <w:sz w:val="20"/>
                <w:szCs w:val="20"/>
              </w:rPr>
              <w:t>Delivery</w:t>
            </w:r>
          </w:p>
        </w:tc>
        <w:tc>
          <w:tcPr>
            <w:tcW w:w="27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B92243A" w14:textId="77777777" w:rsidR="0019236B" w:rsidRPr="000D216A" w:rsidRDefault="0019236B" w:rsidP="0019236B">
            <w:pPr>
              <w:cnfStyle w:val="000000000000" w:firstRow="0" w:lastRow="0" w:firstColumn="0" w:lastColumn="0" w:oddVBand="0" w:evenVBand="0" w:oddHBand="0"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Price increases</w:t>
            </w:r>
          </w:p>
        </w:tc>
        <w:tc>
          <w:tcPr>
            <w:tcW w:w="31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084B191" w14:textId="77777777" w:rsidR="0019236B" w:rsidRPr="000D216A" w:rsidRDefault="0019236B" w:rsidP="0019236B">
            <w:pPr>
              <w:cnfStyle w:val="000000000000" w:firstRow="0" w:lastRow="0" w:firstColumn="0" w:lastColumn="0" w:oddVBand="0" w:evenVBand="0" w:oddHBand="0" w:evenHBand="0" w:firstRowFirstColumn="0" w:firstRowLastColumn="0" w:lastRowFirstColumn="0" w:lastRowLastColumn="0"/>
              <w:rPr>
                <w:rFonts w:ascii="Open Sans" w:hAnsi="Open Sans" w:cs="Open Sans"/>
                <w:noProof/>
                <w:sz w:val="20"/>
                <w:szCs w:val="20"/>
              </w:rPr>
            </w:pPr>
          </w:p>
        </w:tc>
      </w:tr>
      <w:tr w:rsidR="0019236B" w:rsidRPr="000D216A" w14:paraId="13AB426B" w14:textId="77777777" w:rsidTr="00192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69B5597" w14:textId="77777777" w:rsidR="0019236B" w:rsidRPr="000D216A" w:rsidRDefault="0019236B" w:rsidP="0019236B">
            <w:pPr>
              <w:rPr>
                <w:rFonts w:ascii="Open Sans" w:hAnsi="Open Sans" w:cs="Open Sans"/>
                <w:b w:val="0"/>
                <w:noProof/>
                <w:sz w:val="20"/>
                <w:szCs w:val="20"/>
              </w:rPr>
            </w:pPr>
            <w:r w:rsidRPr="000D216A">
              <w:rPr>
                <w:rFonts w:ascii="Open Sans" w:hAnsi="Open Sans" w:cs="Open Sans"/>
                <w:b w:val="0"/>
                <w:noProof/>
                <w:sz w:val="20"/>
                <w:szCs w:val="20"/>
              </w:rPr>
              <w:t>Box size variations applied to the above</w:t>
            </w:r>
          </w:p>
        </w:tc>
        <w:tc>
          <w:tcPr>
            <w:tcW w:w="27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02F60A4" w14:textId="77777777" w:rsidR="0019236B" w:rsidRPr="000D216A" w:rsidRDefault="0019236B" w:rsidP="0019236B">
            <w:pPr>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Minimum fee</w:t>
            </w:r>
          </w:p>
        </w:tc>
        <w:tc>
          <w:tcPr>
            <w:tcW w:w="31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49B44CD" w14:textId="77777777" w:rsidR="0019236B" w:rsidRPr="000D216A" w:rsidRDefault="0019236B" w:rsidP="0019236B">
            <w:pPr>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20"/>
                <w:szCs w:val="20"/>
              </w:rPr>
            </w:pPr>
          </w:p>
        </w:tc>
      </w:tr>
      <w:tr w:rsidR="0019236B" w:rsidRPr="000D216A" w14:paraId="31C726D3" w14:textId="77777777" w:rsidTr="0019236B">
        <w:tc>
          <w:tcPr>
            <w:cnfStyle w:val="001000000000" w:firstRow="0" w:lastRow="0" w:firstColumn="1" w:lastColumn="0" w:oddVBand="0" w:evenVBand="0" w:oddHBand="0" w:evenHBand="0" w:firstRowFirstColumn="0" w:firstRowLastColumn="0" w:lastRowFirstColumn="0" w:lastRowLastColumn="0"/>
            <w:tcW w:w="35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C1FC376" w14:textId="77777777" w:rsidR="0019236B" w:rsidRPr="000D216A" w:rsidRDefault="0019236B" w:rsidP="0019236B">
            <w:pPr>
              <w:rPr>
                <w:rFonts w:ascii="Open Sans" w:hAnsi="Open Sans" w:cs="Open Sans"/>
                <w:b w:val="0"/>
                <w:noProof/>
                <w:sz w:val="20"/>
                <w:szCs w:val="20"/>
              </w:rPr>
            </w:pPr>
            <w:r w:rsidRPr="000D216A">
              <w:rPr>
                <w:rFonts w:ascii="Open Sans" w:hAnsi="Open Sans" w:cs="Open Sans"/>
                <w:b w:val="0"/>
                <w:noProof/>
                <w:sz w:val="20"/>
                <w:szCs w:val="20"/>
              </w:rPr>
              <w:t>Storage Costs</w:t>
            </w:r>
          </w:p>
        </w:tc>
        <w:tc>
          <w:tcPr>
            <w:tcW w:w="27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99A4F5F" w14:textId="77777777" w:rsidR="0019236B" w:rsidRPr="000D216A" w:rsidRDefault="0019236B" w:rsidP="0019236B">
            <w:pPr>
              <w:cnfStyle w:val="000000000000" w:firstRow="0" w:lastRow="0" w:firstColumn="0" w:lastColumn="0" w:oddVBand="0" w:evenVBand="0" w:oddHBand="0"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Billing Fees</w:t>
            </w:r>
          </w:p>
        </w:tc>
        <w:tc>
          <w:tcPr>
            <w:tcW w:w="31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FE3D09F" w14:textId="77777777" w:rsidR="0019236B" w:rsidRPr="000D216A" w:rsidRDefault="0019236B" w:rsidP="0019236B">
            <w:pPr>
              <w:cnfStyle w:val="000000000000" w:firstRow="0" w:lastRow="0" w:firstColumn="0" w:lastColumn="0" w:oddVBand="0" w:evenVBand="0" w:oddHBand="0"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Management Fees</w:t>
            </w:r>
          </w:p>
        </w:tc>
      </w:tr>
      <w:tr w:rsidR="0019236B" w:rsidRPr="000D216A" w14:paraId="7F06CF3F" w14:textId="77777777" w:rsidTr="00192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02935EF" w14:textId="77777777" w:rsidR="0019236B" w:rsidRPr="000D216A" w:rsidRDefault="0019236B" w:rsidP="0019236B">
            <w:pPr>
              <w:rPr>
                <w:rFonts w:ascii="Open Sans" w:hAnsi="Open Sans" w:cs="Open Sans"/>
                <w:b w:val="0"/>
                <w:noProof/>
                <w:sz w:val="20"/>
                <w:szCs w:val="20"/>
              </w:rPr>
            </w:pPr>
            <w:r w:rsidRPr="000D216A">
              <w:rPr>
                <w:rFonts w:ascii="Open Sans" w:hAnsi="Open Sans" w:cs="Open Sans"/>
                <w:b w:val="0"/>
                <w:noProof/>
                <w:sz w:val="20"/>
                <w:szCs w:val="20"/>
              </w:rPr>
              <w:t>Box retrieval/access</w:t>
            </w:r>
          </w:p>
        </w:tc>
        <w:tc>
          <w:tcPr>
            <w:tcW w:w="27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806DE08" w14:textId="77777777" w:rsidR="0019236B" w:rsidRPr="000D216A" w:rsidRDefault="0019236B" w:rsidP="0019236B">
            <w:pPr>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Fuel surcharges</w:t>
            </w:r>
          </w:p>
        </w:tc>
        <w:tc>
          <w:tcPr>
            <w:tcW w:w="31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A8081F8" w14:textId="77777777" w:rsidR="0019236B" w:rsidRPr="000D216A" w:rsidRDefault="0019236B" w:rsidP="0019236B">
            <w:pPr>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Online access</w:t>
            </w:r>
          </w:p>
        </w:tc>
      </w:tr>
      <w:tr w:rsidR="0019236B" w:rsidRPr="000D216A" w14:paraId="571863AB" w14:textId="77777777" w:rsidTr="0019236B">
        <w:tc>
          <w:tcPr>
            <w:cnfStyle w:val="001000000000" w:firstRow="0" w:lastRow="0" w:firstColumn="1" w:lastColumn="0" w:oddVBand="0" w:evenVBand="0" w:oddHBand="0" w:evenHBand="0" w:firstRowFirstColumn="0" w:firstRowLastColumn="0" w:lastRowFirstColumn="0" w:lastRowLastColumn="0"/>
            <w:tcW w:w="35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349A104" w14:textId="77777777" w:rsidR="0019236B" w:rsidRPr="000D216A" w:rsidRDefault="0019236B" w:rsidP="0019236B">
            <w:pPr>
              <w:rPr>
                <w:rFonts w:ascii="Open Sans" w:hAnsi="Open Sans" w:cs="Open Sans"/>
                <w:b w:val="0"/>
                <w:noProof/>
                <w:sz w:val="20"/>
                <w:szCs w:val="20"/>
              </w:rPr>
            </w:pPr>
            <w:r w:rsidRPr="000D216A">
              <w:rPr>
                <w:rFonts w:ascii="Open Sans" w:hAnsi="Open Sans" w:cs="Open Sans"/>
                <w:b w:val="0"/>
                <w:noProof/>
                <w:sz w:val="20"/>
                <w:szCs w:val="20"/>
              </w:rPr>
              <w:t>Box removal</w:t>
            </w:r>
          </w:p>
        </w:tc>
        <w:tc>
          <w:tcPr>
            <w:tcW w:w="27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AB2FD7A" w14:textId="77777777" w:rsidR="0019236B" w:rsidRPr="000D216A" w:rsidRDefault="0019236B" w:rsidP="0019236B">
            <w:pPr>
              <w:cnfStyle w:val="000000000000" w:firstRow="0" w:lastRow="0" w:firstColumn="0" w:lastColumn="0" w:oddVBand="0" w:evenVBand="0" w:oddHBand="0"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Itemized invoice</w:t>
            </w:r>
          </w:p>
        </w:tc>
        <w:tc>
          <w:tcPr>
            <w:tcW w:w="31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FB32828" w14:textId="77777777" w:rsidR="0019236B" w:rsidRPr="000D216A" w:rsidRDefault="0019236B" w:rsidP="0019236B">
            <w:pPr>
              <w:cnfStyle w:val="000000000000" w:firstRow="0" w:lastRow="0" w:firstColumn="0" w:lastColumn="0" w:oddVBand="0" w:evenVBand="0" w:oddHBand="0"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Box inventory list management</w:t>
            </w:r>
          </w:p>
        </w:tc>
      </w:tr>
      <w:tr w:rsidR="0019236B" w:rsidRPr="000D216A" w14:paraId="5106397E" w14:textId="77777777" w:rsidTr="00192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DB4687E" w14:textId="77777777" w:rsidR="0019236B" w:rsidRPr="000D216A" w:rsidRDefault="0019236B" w:rsidP="0019236B">
            <w:pPr>
              <w:rPr>
                <w:rFonts w:ascii="Open Sans" w:hAnsi="Open Sans" w:cs="Open Sans"/>
                <w:b w:val="0"/>
                <w:noProof/>
                <w:sz w:val="20"/>
                <w:szCs w:val="20"/>
              </w:rPr>
            </w:pPr>
            <w:r w:rsidRPr="000D216A">
              <w:rPr>
                <w:rFonts w:ascii="Open Sans" w:hAnsi="Open Sans" w:cs="Open Sans"/>
                <w:b w:val="0"/>
                <w:noProof/>
                <w:sz w:val="20"/>
                <w:szCs w:val="20"/>
              </w:rPr>
              <w:t>Permanent box removal (e.g., if moving to a new facility or destroying old records)</w:t>
            </w:r>
          </w:p>
        </w:tc>
        <w:tc>
          <w:tcPr>
            <w:tcW w:w="27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D198DA7" w14:textId="77777777" w:rsidR="0019236B" w:rsidRPr="000D216A" w:rsidRDefault="0019236B" w:rsidP="0019236B">
            <w:pPr>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Invoice by department</w:t>
            </w:r>
          </w:p>
        </w:tc>
        <w:tc>
          <w:tcPr>
            <w:tcW w:w="31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85C1E62" w14:textId="77777777" w:rsidR="0019236B" w:rsidRPr="000D216A" w:rsidRDefault="0019236B" w:rsidP="0019236B">
            <w:pPr>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Onsite room use</w:t>
            </w:r>
          </w:p>
        </w:tc>
      </w:tr>
      <w:tr w:rsidR="0019236B" w:rsidRPr="000D216A" w14:paraId="77B0E724" w14:textId="77777777" w:rsidTr="0019236B">
        <w:trPr>
          <w:trHeight w:val="242"/>
        </w:trPr>
        <w:tc>
          <w:tcPr>
            <w:cnfStyle w:val="001000000000" w:firstRow="0" w:lastRow="0" w:firstColumn="1" w:lastColumn="0" w:oddVBand="0" w:evenVBand="0" w:oddHBand="0" w:evenHBand="0" w:firstRowFirstColumn="0" w:firstRowLastColumn="0" w:lastRowFirstColumn="0" w:lastRowLastColumn="0"/>
            <w:tcW w:w="35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6D870D6" w14:textId="77777777" w:rsidR="0019236B" w:rsidRPr="000D216A" w:rsidRDefault="0019236B" w:rsidP="0019236B">
            <w:pPr>
              <w:rPr>
                <w:rFonts w:ascii="Open Sans" w:hAnsi="Open Sans" w:cs="Open Sans"/>
                <w:b w:val="0"/>
                <w:noProof/>
                <w:sz w:val="20"/>
                <w:szCs w:val="20"/>
              </w:rPr>
            </w:pPr>
            <w:r w:rsidRPr="000D216A">
              <w:rPr>
                <w:rFonts w:ascii="Open Sans" w:hAnsi="Open Sans" w:cs="Open Sans"/>
                <w:b w:val="0"/>
                <w:noProof/>
                <w:sz w:val="20"/>
                <w:szCs w:val="20"/>
              </w:rPr>
              <w:t>Delivery</w:t>
            </w:r>
          </w:p>
        </w:tc>
        <w:tc>
          <w:tcPr>
            <w:tcW w:w="27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86DA851" w14:textId="77777777" w:rsidR="0019236B" w:rsidRPr="000D216A" w:rsidRDefault="0019236B" w:rsidP="0019236B">
            <w:pPr>
              <w:cnfStyle w:val="000000000000" w:firstRow="0" w:lastRow="0" w:firstColumn="0" w:lastColumn="0" w:oddVBand="0" w:evenVBand="0" w:oddHBand="0"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Price increases</w:t>
            </w:r>
          </w:p>
        </w:tc>
        <w:tc>
          <w:tcPr>
            <w:tcW w:w="31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1DF1EE4" w14:textId="77777777" w:rsidR="0019236B" w:rsidRPr="000D216A" w:rsidRDefault="0019236B" w:rsidP="0019236B">
            <w:pPr>
              <w:cnfStyle w:val="000000000000" w:firstRow="0" w:lastRow="0" w:firstColumn="0" w:lastColumn="0" w:oddVBand="0" w:evenVBand="0" w:oddHBand="0" w:evenHBand="0" w:firstRowFirstColumn="0" w:firstRowLastColumn="0" w:lastRowFirstColumn="0" w:lastRowLastColumn="0"/>
              <w:rPr>
                <w:rFonts w:ascii="Open Sans" w:hAnsi="Open Sans" w:cs="Open Sans"/>
                <w:noProof/>
                <w:sz w:val="20"/>
                <w:szCs w:val="20"/>
              </w:rPr>
            </w:pPr>
          </w:p>
        </w:tc>
      </w:tr>
      <w:tr w:rsidR="0019236B" w:rsidRPr="000D216A" w14:paraId="6FCD90D9" w14:textId="77777777" w:rsidTr="00192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8A059DF" w14:textId="77777777" w:rsidR="0019236B" w:rsidRPr="000D216A" w:rsidRDefault="0019236B" w:rsidP="0019236B">
            <w:pPr>
              <w:rPr>
                <w:rFonts w:ascii="Open Sans" w:hAnsi="Open Sans" w:cs="Open Sans"/>
                <w:b w:val="0"/>
                <w:noProof/>
                <w:sz w:val="20"/>
                <w:szCs w:val="20"/>
              </w:rPr>
            </w:pPr>
            <w:r w:rsidRPr="000D216A">
              <w:rPr>
                <w:rFonts w:ascii="Open Sans" w:hAnsi="Open Sans" w:cs="Open Sans"/>
                <w:b w:val="0"/>
                <w:noProof/>
                <w:sz w:val="20"/>
                <w:szCs w:val="20"/>
              </w:rPr>
              <w:t>Box size variations applied to the above</w:t>
            </w:r>
          </w:p>
        </w:tc>
        <w:tc>
          <w:tcPr>
            <w:tcW w:w="27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AA49B5A" w14:textId="77777777" w:rsidR="0019236B" w:rsidRPr="000D216A" w:rsidRDefault="0019236B" w:rsidP="0019236B">
            <w:pPr>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20"/>
                <w:szCs w:val="20"/>
              </w:rPr>
            </w:pPr>
            <w:r w:rsidRPr="000D216A">
              <w:rPr>
                <w:rFonts w:ascii="Open Sans" w:hAnsi="Open Sans" w:cs="Open Sans"/>
                <w:noProof/>
                <w:sz w:val="20"/>
                <w:szCs w:val="20"/>
              </w:rPr>
              <w:t>Minimum fee</w:t>
            </w:r>
          </w:p>
        </w:tc>
        <w:tc>
          <w:tcPr>
            <w:tcW w:w="31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7E88F48" w14:textId="77777777" w:rsidR="0019236B" w:rsidRPr="000D216A" w:rsidRDefault="0019236B" w:rsidP="0019236B">
            <w:pPr>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20"/>
                <w:szCs w:val="20"/>
              </w:rPr>
            </w:pPr>
          </w:p>
        </w:tc>
      </w:tr>
    </w:tbl>
    <w:p w14:paraId="4A2E5E6A" w14:textId="77777777" w:rsidR="000D216A" w:rsidRPr="000D216A" w:rsidRDefault="000D216A" w:rsidP="000D216A">
      <w:pPr>
        <w:rPr>
          <w:rFonts w:ascii="Open Sans" w:hAnsi="Open Sans" w:cs="Open Sans"/>
        </w:rPr>
      </w:pPr>
      <w:r w:rsidRPr="000D216A">
        <w:rPr>
          <w:rFonts w:ascii="Open Sans" w:hAnsi="Open Sans" w:cs="Open Sans"/>
        </w:rPr>
        <w:t>For many, burdensome storage costs coupled with punitive box removal fees feel like an unavoidable tax. However, increasingly, organizations are taking a step back and developing strategies both for recovering overbilling, and also reducing long-term record storage costs and volumes:</w:t>
      </w:r>
    </w:p>
    <w:p w14:paraId="376D730E" w14:textId="77777777" w:rsidR="0019236B" w:rsidRDefault="0019236B" w:rsidP="000D216A">
      <w:pPr>
        <w:pBdr>
          <w:top w:val="nil"/>
          <w:left w:val="nil"/>
          <w:bottom w:val="nil"/>
          <w:right w:val="nil"/>
          <w:between w:val="nil"/>
        </w:pBdr>
        <w:spacing w:after="0"/>
        <w:contextualSpacing/>
        <w:rPr>
          <w:rFonts w:ascii="Open Sans" w:hAnsi="Open Sans" w:cs="Open Sans"/>
          <w:i/>
        </w:rPr>
      </w:pPr>
    </w:p>
    <w:p w14:paraId="6FE8D5FB" w14:textId="3C3AD0EA" w:rsidR="000D216A" w:rsidRPr="000D216A" w:rsidRDefault="000D216A" w:rsidP="000D216A">
      <w:pPr>
        <w:pBdr>
          <w:top w:val="nil"/>
          <w:left w:val="nil"/>
          <w:bottom w:val="nil"/>
          <w:right w:val="nil"/>
          <w:between w:val="nil"/>
        </w:pBdr>
        <w:spacing w:after="0"/>
        <w:contextualSpacing/>
        <w:rPr>
          <w:rFonts w:ascii="Open Sans" w:hAnsi="Open Sans" w:cs="Open Sans"/>
        </w:rPr>
      </w:pPr>
      <w:r w:rsidRPr="0019236B">
        <w:rPr>
          <w:rFonts w:ascii="Open Sans" w:hAnsi="Open Sans" w:cs="Open Sans"/>
          <w:i/>
        </w:rPr>
        <w:t>Reducing Costs with Requirements-based Smart Contract Negotiations</w:t>
      </w:r>
      <w:r w:rsidRPr="000D216A">
        <w:rPr>
          <w:rFonts w:ascii="Open Sans" w:hAnsi="Open Sans" w:cs="Open Sans"/>
          <w:b/>
          <w:i/>
        </w:rPr>
        <w:t xml:space="preserve"> – </w:t>
      </w:r>
      <w:r w:rsidRPr="000D216A">
        <w:rPr>
          <w:rFonts w:ascii="Open Sans" w:hAnsi="Open Sans" w:cs="Open Sans"/>
        </w:rPr>
        <w:t>The contract and billing complexities put companies at a disadvantage when it comes to renegotiating contracts and, by extension, their actual costs. Examples of these are almost endless, but Table 5 lists some actual storage costs, billing related fees and management fees. Companies that understand exactly how much they spend on which areas are in a position to negotiate better contracts. This can result in savings ranging from 24-45%.</w:t>
      </w:r>
    </w:p>
    <w:p w14:paraId="38DC9293" w14:textId="77777777" w:rsidR="000D216A" w:rsidRPr="000D216A" w:rsidRDefault="000D216A" w:rsidP="000D216A">
      <w:pPr>
        <w:rPr>
          <w:rFonts w:ascii="Open Sans" w:hAnsi="Open Sans" w:cs="Open Sans"/>
        </w:rPr>
      </w:pPr>
      <w:r w:rsidRPr="000D216A">
        <w:rPr>
          <w:rFonts w:ascii="Open Sans" w:hAnsi="Open Sans" w:cs="Open Sans"/>
          <w:sz w:val="20"/>
          <w:szCs w:val="20"/>
        </w:rPr>
        <w:t>Table 5. Examples of ancillary fees found in contracts</w:t>
      </w:r>
    </w:p>
    <w:p w14:paraId="00EFD943" w14:textId="77777777" w:rsidR="000D216A" w:rsidRPr="000D216A" w:rsidRDefault="000D216A" w:rsidP="000D216A">
      <w:pPr>
        <w:rPr>
          <w:rFonts w:ascii="Open Sans" w:hAnsi="Open Sans" w:cs="Open Sans"/>
        </w:rPr>
      </w:pPr>
      <w:r w:rsidRPr="0019236B">
        <w:rPr>
          <w:rFonts w:ascii="Open Sans" w:hAnsi="Open Sans" w:cs="Open Sans"/>
          <w:i/>
        </w:rPr>
        <w:lastRenderedPageBreak/>
        <w:t>Recovering Overbillings</w:t>
      </w:r>
      <w:r w:rsidRPr="000D216A">
        <w:rPr>
          <w:rFonts w:ascii="Open Sans" w:hAnsi="Open Sans" w:cs="Open Sans"/>
          <w:b/>
          <w:i/>
        </w:rPr>
        <w:t xml:space="preserve"> – </w:t>
      </w:r>
      <w:r w:rsidRPr="000D216A">
        <w:rPr>
          <w:rFonts w:ascii="Open Sans" w:hAnsi="Open Sans" w:cs="Open Sans"/>
        </w:rPr>
        <w:t>Detecting invoice errors can be a daunting task requiring specialized skills and, sometimes, even a legal background as contracts need to be matched to invoices, which are multi-page and contain itemized details. The business function reviewing invoices needs detailed knowledge of contract provisions to determine the accuracy of charges. Note that box management activity is billed in arrears and storage is billed in advance. Both are on the same invoice.</w:t>
      </w:r>
    </w:p>
    <w:p w14:paraId="0C6E9A3D" w14:textId="77777777" w:rsidR="000D216A" w:rsidRPr="000D216A" w:rsidRDefault="000D216A" w:rsidP="000D216A">
      <w:pPr>
        <w:rPr>
          <w:rFonts w:ascii="Open Sans" w:hAnsi="Open Sans" w:cs="Open Sans"/>
        </w:rPr>
      </w:pPr>
      <w:r w:rsidRPr="000D216A">
        <w:rPr>
          <w:rFonts w:ascii="Open Sans" w:hAnsi="Open Sans" w:cs="Open Sans"/>
          <w:b/>
          <w:i/>
        </w:rPr>
        <w:t xml:space="preserve">Reducing Costs and Risks with Offsite Records Remediation – </w:t>
      </w:r>
      <w:r w:rsidRPr="000D216A">
        <w:rPr>
          <w:rFonts w:ascii="Open Sans" w:hAnsi="Open Sans" w:cs="Open Sans"/>
        </w:rPr>
        <w:t xml:space="preserve">Ultimately, the biggest savings occur when records are destroyed in accordance with records management policies. Over-retained records (and other non-record extraneous materials) result in higher costs beyond just those with the offsite vendors. An effective records remediation program can reduce those costs and risks. The key is making sure that the records are defensibly deleted using a formal program. </w:t>
      </w:r>
    </w:p>
    <w:p w14:paraId="0A1FC0CD" w14:textId="77777777" w:rsidR="000D216A" w:rsidRPr="000D216A" w:rsidRDefault="000D216A" w:rsidP="000D216A">
      <w:pPr>
        <w:rPr>
          <w:rFonts w:ascii="Open Sans" w:hAnsi="Open Sans" w:cs="Open Sans"/>
        </w:rPr>
      </w:pPr>
      <w:r w:rsidRPr="000D216A">
        <w:rPr>
          <w:rFonts w:ascii="Open Sans" w:hAnsi="Open Sans" w:cs="Open Sans"/>
        </w:rPr>
        <w:t>Paper is not going away any time soon which means that offsite paper storage will remain an ongoing expense. Smart companies will analyze their current contracts with offsite vendors in order to balance and reduce future costs. Many companies will find they have overpaid and have an opportunity to recover fees inappropriately billed. Expert advice from outside independent consultants can play a critical role both in identifying recoverable costs and in negotiating more favorable contracts.</w:t>
      </w:r>
    </w:p>
    <w:p w14:paraId="44C51379" w14:textId="77777777" w:rsidR="000D216A" w:rsidRPr="000D216A" w:rsidRDefault="000D216A" w:rsidP="00B66BB6">
      <w:pPr>
        <w:rPr>
          <w:rFonts w:ascii="Open Sans" w:hAnsi="Open Sans" w:cs="Open Sans"/>
        </w:rPr>
      </w:pPr>
    </w:p>
    <w:p w14:paraId="07EF698B" w14:textId="77777777" w:rsidR="000D216A" w:rsidRPr="000D216A" w:rsidRDefault="000D216A" w:rsidP="000D216A">
      <w:pPr>
        <w:pStyle w:val="Heading2"/>
        <w:rPr>
          <w:rStyle w:val="Strong"/>
          <w:rFonts w:ascii="Open Sans" w:hAnsi="Open Sans" w:cs="Open Sans"/>
        </w:rPr>
      </w:pPr>
      <w:r w:rsidRPr="000D216A">
        <w:rPr>
          <w:rStyle w:val="Strong"/>
          <w:rFonts w:ascii="Open Sans" w:hAnsi="Open Sans" w:cs="Open Sans"/>
        </w:rPr>
        <w:t>Additional Information on This Topic</w:t>
      </w:r>
    </w:p>
    <w:p w14:paraId="53230BA0" w14:textId="77777777" w:rsidR="003E6ACB" w:rsidRDefault="003E6ACB" w:rsidP="000D216A">
      <w:pPr>
        <w:pStyle w:val="Heading2"/>
        <w:rPr>
          <w:rStyle w:val="Strong"/>
          <w:rFonts w:ascii="Open Sans" w:hAnsi="Open Sans" w:cs="Open Sans"/>
        </w:rPr>
      </w:pPr>
      <w:bookmarkStart w:id="2" w:name="_Hlk531075989"/>
      <w:r w:rsidRPr="003E6ACB">
        <w:rPr>
          <w:rStyle w:val="Strong"/>
          <w:rFonts w:ascii="Open Sans" w:hAnsi="Open Sans" w:cs="Open Sans"/>
        </w:rPr>
        <w:t xml:space="preserve">White Paper: </w:t>
      </w:r>
    </w:p>
    <w:p w14:paraId="4B468584" w14:textId="3765B023" w:rsidR="003E6ACB" w:rsidRPr="003E6ACB" w:rsidRDefault="003E6ACB" w:rsidP="000D216A">
      <w:pPr>
        <w:pStyle w:val="Heading2"/>
        <w:rPr>
          <w:rStyle w:val="Strong"/>
          <w:rFonts w:ascii="Open Sans" w:hAnsi="Open Sans" w:cs="Open Sans"/>
        </w:rPr>
      </w:pPr>
      <w:r w:rsidRPr="003E6ACB">
        <w:rPr>
          <w:rStyle w:val="Strong"/>
          <w:rFonts w:ascii="Open Sans" w:hAnsi="Open Sans" w:cs="Open Sans"/>
        </w:rPr>
        <w:t xml:space="preserve">Reducing Your Offsite Paper Storage Risk and Cost </w:t>
      </w:r>
    </w:p>
    <w:p w14:paraId="476D76EE" w14:textId="77777777" w:rsidR="003E6ACB" w:rsidRPr="003E6ACB" w:rsidRDefault="003E6ACB" w:rsidP="003E6ACB">
      <w:pPr>
        <w:pStyle w:val="Heading2"/>
        <w:rPr>
          <w:rFonts w:ascii="Open Sans" w:eastAsiaTheme="minorHAnsi" w:hAnsi="Open Sans" w:cs="Open Sans"/>
          <w:color w:val="auto"/>
          <w:sz w:val="22"/>
          <w:szCs w:val="22"/>
        </w:rPr>
      </w:pPr>
      <w:r w:rsidRPr="003E6ACB">
        <w:rPr>
          <w:rFonts w:ascii="Open Sans" w:eastAsiaTheme="minorHAnsi" w:hAnsi="Open Sans" w:cs="Open Sans"/>
          <w:color w:val="auto"/>
          <w:sz w:val="22"/>
          <w:szCs w:val="22"/>
        </w:rPr>
        <w:t>This White Paper discusses strategies for recovering overbillings, reducing overall</w:t>
      </w:r>
    </w:p>
    <w:p w14:paraId="5CFC6B98" w14:textId="77777777" w:rsidR="003E6ACB" w:rsidRDefault="003E6ACB" w:rsidP="003E6ACB">
      <w:pPr>
        <w:pStyle w:val="Heading2"/>
        <w:rPr>
          <w:rFonts w:ascii="Open Sans" w:eastAsiaTheme="minorHAnsi" w:hAnsi="Open Sans" w:cs="Open Sans"/>
          <w:color w:val="auto"/>
          <w:sz w:val="22"/>
          <w:szCs w:val="22"/>
        </w:rPr>
      </w:pPr>
      <w:r w:rsidRPr="003E6ACB">
        <w:rPr>
          <w:rFonts w:ascii="Open Sans" w:eastAsiaTheme="minorHAnsi" w:hAnsi="Open Sans" w:cs="Open Sans"/>
          <w:color w:val="auto"/>
          <w:sz w:val="22"/>
          <w:szCs w:val="22"/>
        </w:rPr>
        <w:t>physical records storage costs and reducing the volume of offsite records stored.</w:t>
      </w:r>
      <w:r>
        <w:rPr>
          <w:rFonts w:ascii="Open Sans" w:eastAsiaTheme="minorHAnsi" w:hAnsi="Open Sans" w:cs="Open Sans"/>
          <w:color w:val="auto"/>
          <w:sz w:val="22"/>
          <w:szCs w:val="22"/>
        </w:rPr>
        <w:t xml:space="preserve"> </w:t>
      </w:r>
    </w:p>
    <w:p w14:paraId="1BD69337" w14:textId="70F94A9A" w:rsidR="003E6ACB" w:rsidRDefault="003E6ACB" w:rsidP="003E6ACB">
      <w:pPr>
        <w:pStyle w:val="Heading2"/>
        <w:rPr>
          <w:rFonts w:ascii="Open Sans" w:eastAsiaTheme="minorHAnsi" w:hAnsi="Open Sans" w:cs="Open Sans"/>
          <w:color w:val="auto"/>
          <w:sz w:val="22"/>
          <w:szCs w:val="22"/>
        </w:rPr>
      </w:pPr>
      <w:r>
        <w:rPr>
          <w:rFonts w:ascii="Open Sans" w:eastAsiaTheme="minorHAnsi" w:hAnsi="Open Sans" w:cs="Open Sans"/>
          <w:color w:val="auto"/>
          <w:sz w:val="22"/>
          <w:szCs w:val="22"/>
        </w:rPr>
        <w:t xml:space="preserve">To view a complimentary copy, visit </w:t>
      </w:r>
      <w:hyperlink r:id="rId9" w:history="1">
        <w:r w:rsidRPr="00437D2C">
          <w:rPr>
            <w:rStyle w:val="Hyperlink"/>
            <w:rFonts w:ascii="Open Sans" w:eastAsiaTheme="minorHAnsi" w:hAnsi="Open Sans" w:cs="Open Sans"/>
            <w:sz w:val="22"/>
            <w:szCs w:val="22"/>
          </w:rPr>
          <w:t>www.contoural.com</w:t>
        </w:r>
      </w:hyperlink>
      <w:r>
        <w:rPr>
          <w:rFonts w:ascii="Open Sans" w:eastAsiaTheme="minorHAnsi" w:hAnsi="Open Sans" w:cs="Open Sans"/>
          <w:color w:val="auto"/>
          <w:sz w:val="22"/>
          <w:szCs w:val="22"/>
        </w:rPr>
        <w:t xml:space="preserve"> </w:t>
      </w:r>
    </w:p>
    <w:p w14:paraId="63BF99DB" w14:textId="77777777" w:rsidR="003E6ACB" w:rsidRDefault="003E6ACB" w:rsidP="003E6ACB">
      <w:pPr>
        <w:pStyle w:val="Heading2"/>
        <w:rPr>
          <w:rStyle w:val="Strong"/>
          <w:rFonts w:ascii="Open Sans" w:hAnsi="Open Sans" w:cs="Open Sans"/>
        </w:rPr>
      </w:pPr>
    </w:p>
    <w:p w14:paraId="5EF0BAD1" w14:textId="5CA5E7EF" w:rsidR="003E6ACB" w:rsidRPr="003E6ACB" w:rsidRDefault="003E6ACB" w:rsidP="003E6ACB">
      <w:pPr>
        <w:pStyle w:val="Heading2"/>
        <w:rPr>
          <w:rStyle w:val="Strong"/>
          <w:rFonts w:ascii="Open Sans" w:hAnsi="Open Sans" w:cs="Open Sans"/>
        </w:rPr>
      </w:pPr>
      <w:r w:rsidRPr="003E6ACB">
        <w:rPr>
          <w:rStyle w:val="Strong"/>
          <w:rFonts w:ascii="Open Sans" w:hAnsi="Open Sans" w:cs="Open Sans"/>
        </w:rPr>
        <w:t>Webinars:</w:t>
      </w:r>
    </w:p>
    <w:p w14:paraId="49231151" w14:textId="77777777" w:rsidR="003E6ACB" w:rsidRPr="003E6ACB" w:rsidRDefault="003E6ACB" w:rsidP="003E6ACB">
      <w:pPr>
        <w:spacing w:after="0"/>
        <w:rPr>
          <w:rFonts w:ascii="Open Sans" w:hAnsi="Open Sans" w:cs="Open Sans"/>
          <w:b/>
          <w:color w:val="2E74B5" w:themeColor="accent1" w:themeShade="BF"/>
        </w:rPr>
      </w:pPr>
      <w:r w:rsidRPr="003E6ACB">
        <w:rPr>
          <w:rFonts w:ascii="Open Sans" w:hAnsi="Open Sans" w:cs="Open Sans"/>
          <w:b/>
          <w:color w:val="2E74B5" w:themeColor="accent1" w:themeShade="BF"/>
        </w:rPr>
        <w:t xml:space="preserve">Out </w:t>
      </w:r>
      <w:proofErr w:type="gramStart"/>
      <w:r w:rsidRPr="003E6ACB">
        <w:rPr>
          <w:rFonts w:ascii="Open Sans" w:hAnsi="Open Sans" w:cs="Open Sans"/>
          <w:b/>
          <w:color w:val="2E74B5" w:themeColor="accent1" w:themeShade="BF"/>
        </w:rPr>
        <w:t>With</w:t>
      </w:r>
      <w:proofErr w:type="gramEnd"/>
      <w:r w:rsidRPr="003E6ACB">
        <w:rPr>
          <w:rFonts w:ascii="Open Sans" w:hAnsi="Open Sans" w:cs="Open Sans"/>
          <w:b/>
          <w:color w:val="2E74B5" w:themeColor="accent1" w:themeShade="BF"/>
        </w:rPr>
        <w:t xml:space="preserve"> the Old: Paper Remediation Strategies </w:t>
      </w:r>
    </w:p>
    <w:p w14:paraId="615C2E29" w14:textId="77777777" w:rsidR="003E6ACB" w:rsidRPr="003E6ACB" w:rsidRDefault="003E6ACB" w:rsidP="003E6ACB">
      <w:pPr>
        <w:pStyle w:val="PlainText"/>
        <w:rPr>
          <w:rFonts w:ascii="Open Sans" w:hAnsi="Open Sans" w:cs="Open Sans"/>
        </w:rPr>
      </w:pPr>
      <w:r w:rsidRPr="003E6ACB">
        <w:rPr>
          <w:rFonts w:ascii="Open Sans" w:hAnsi="Open Sans" w:cs="Open Sans"/>
        </w:rPr>
        <w:t xml:space="preserve">You’ve got mountains of boxes stored away somewhere in a storage unit you’ve never seen. It’s likely that you also haven’t seen (or needed) a lot of the paper documents that are stored in those boxes. Many organizations are facing a dilemma: there are too many boxes that need to be destroyed, but it’s more expensive to destroy them than to keep them. What can you do? Join us on this webinar as we discuss steps you can take to cost-effectively begin to get rid of the old information you no longer need. To view the webinar, </w:t>
      </w:r>
      <w:hyperlink r:id="rId10" w:history="1">
        <w:r w:rsidRPr="003E6ACB">
          <w:rPr>
            <w:rStyle w:val="Hyperlink"/>
            <w:rFonts w:ascii="Open Sans" w:hAnsi="Open Sans" w:cs="Open Sans"/>
          </w:rPr>
          <w:t>click here</w:t>
        </w:r>
      </w:hyperlink>
      <w:r w:rsidRPr="003E6ACB">
        <w:rPr>
          <w:rFonts w:ascii="Open Sans" w:hAnsi="Open Sans" w:cs="Open Sans"/>
        </w:rPr>
        <w:t xml:space="preserve">. </w:t>
      </w:r>
    </w:p>
    <w:p w14:paraId="2863BDA7" w14:textId="77777777" w:rsidR="003E6ACB" w:rsidRPr="003E6ACB" w:rsidRDefault="003E6ACB" w:rsidP="003E6ACB">
      <w:pPr>
        <w:spacing w:after="0"/>
        <w:rPr>
          <w:rFonts w:ascii="Open Sans" w:hAnsi="Open Sans" w:cs="Open Sans"/>
          <w:b/>
          <w:color w:val="2E74B5" w:themeColor="accent1" w:themeShade="BF"/>
        </w:rPr>
      </w:pPr>
    </w:p>
    <w:p w14:paraId="156F7295" w14:textId="77777777" w:rsidR="003E6ACB" w:rsidRPr="003E6ACB" w:rsidRDefault="003E6ACB" w:rsidP="003E6ACB">
      <w:pPr>
        <w:spacing w:after="0"/>
        <w:rPr>
          <w:rFonts w:ascii="Open Sans" w:hAnsi="Open Sans" w:cs="Open Sans"/>
          <w:b/>
          <w:color w:val="2E74B5" w:themeColor="accent1" w:themeShade="BF"/>
        </w:rPr>
      </w:pPr>
      <w:r w:rsidRPr="003E6ACB">
        <w:rPr>
          <w:rFonts w:ascii="Open Sans" w:hAnsi="Open Sans" w:cs="Open Sans"/>
          <w:b/>
          <w:color w:val="2E74B5" w:themeColor="accent1" w:themeShade="BF"/>
        </w:rPr>
        <w:t xml:space="preserve">Renegotiating Your Offsite Paper Storage Contract </w:t>
      </w:r>
    </w:p>
    <w:p w14:paraId="6F8B7978" w14:textId="77777777" w:rsidR="003E6ACB" w:rsidRPr="003E6ACB" w:rsidRDefault="003E6ACB" w:rsidP="003E6ACB">
      <w:pPr>
        <w:pStyle w:val="PlainText"/>
        <w:rPr>
          <w:rFonts w:ascii="Open Sans" w:hAnsi="Open Sans" w:cs="Open Sans"/>
        </w:rPr>
      </w:pPr>
      <w:r w:rsidRPr="003E6ACB">
        <w:rPr>
          <w:rFonts w:ascii="Open Sans" w:hAnsi="Open Sans" w:cs="Open Sans"/>
        </w:rPr>
        <w:lastRenderedPageBreak/>
        <w:t>While organizations shift their focus away from paper and towards electronic information, they’re left with byzantine agreements with their offsite storage vendor without making sure that the current and future retention needs of the company match their vendor contracts. Taking into consideration the company’s records retrieval, records destruction, and overall needs is not usually at the top of the priority list, but it can save you headaches and money in the long run. How can you make sure that you’re not overpaying? How can you renegotiate your contract to match what you need?</w:t>
      </w:r>
    </w:p>
    <w:p w14:paraId="54BFEB66" w14:textId="77777777" w:rsidR="003E6ACB" w:rsidRPr="003E6ACB" w:rsidRDefault="003E6ACB" w:rsidP="003E6ACB">
      <w:pPr>
        <w:pStyle w:val="PlainText"/>
        <w:rPr>
          <w:rFonts w:ascii="Open Sans" w:hAnsi="Open Sans" w:cs="Open Sans"/>
        </w:rPr>
      </w:pPr>
      <w:r w:rsidRPr="003E6ACB">
        <w:rPr>
          <w:rFonts w:ascii="Open Sans" w:hAnsi="Open Sans" w:cs="Open Sans"/>
        </w:rPr>
        <w:t xml:space="preserve"> To view the webinar, </w:t>
      </w:r>
      <w:hyperlink r:id="rId11" w:history="1">
        <w:r w:rsidRPr="003E6ACB">
          <w:rPr>
            <w:rStyle w:val="Hyperlink"/>
            <w:rFonts w:ascii="Open Sans" w:hAnsi="Open Sans" w:cs="Open Sans"/>
          </w:rPr>
          <w:t>click here</w:t>
        </w:r>
      </w:hyperlink>
      <w:r w:rsidRPr="003E6ACB">
        <w:rPr>
          <w:rFonts w:ascii="Open Sans" w:hAnsi="Open Sans" w:cs="Open Sans"/>
        </w:rPr>
        <w:t xml:space="preserve">. </w:t>
      </w:r>
    </w:p>
    <w:p w14:paraId="61B69D2A" w14:textId="77777777" w:rsidR="003E6ACB" w:rsidRPr="003E6ACB" w:rsidRDefault="003E6ACB" w:rsidP="003E6ACB">
      <w:pPr>
        <w:spacing w:after="0"/>
        <w:rPr>
          <w:rFonts w:ascii="Open Sans" w:hAnsi="Open Sans" w:cs="Open Sans"/>
          <w:b/>
          <w:color w:val="2E74B5" w:themeColor="accent1" w:themeShade="BF"/>
        </w:rPr>
      </w:pPr>
    </w:p>
    <w:p w14:paraId="79A9FFD4" w14:textId="77777777" w:rsidR="003E6ACB" w:rsidRPr="003E6ACB" w:rsidRDefault="003E6ACB" w:rsidP="003E6ACB">
      <w:pPr>
        <w:spacing w:after="0"/>
        <w:rPr>
          <w:rFonts w:ascii="Open Sans" w:hAnsi="Open Sans" w:cs="Open Sans"/>
          <w:b/>
          <w:color w:val="2E74B5" w:themeColor="accent1" w:themeShade="BF"/>
        </w:rPr>
      </w:pPr>
      <w:r w:rsidRPr="003E6ACB">
        <w:rPr>
          <w:rFonts w:ascii="Open Sans" w:hAnsi="Open Sans" w:cs="Open Sans"/>
          <w:b/>
          <w:color w:val="2E74B5" w:themeColor="accent1" w:themeShade="BF"/>
        </w:rPr>
        <w:t>Top 5 Tricks Paper Storage Companies Play to Keep You Paying Extra</w:t>
      </w:r>
    </w:p>
    <w:p w14:paraId="09C86034" w14:textId="77777777" w:rsidR="003E6ACB" w:rsidRPr="003E6ACB" w:rsidRDefault="003E6ACB" w:rsidP="003E6ACB">
      <w:pPr>
        <w:pStyle w:val="PlainText"/>
        <w:rPr>
          <w:rFonts w:ascii="Open Sans" w:hAnsi="Open Sans" w:cs="Open Sans"/>
        </w:rPr>
      </w:pPr>
      <w:r w:rsidRPr="003E6ACB">
        <w:rPr>
          <w:rFonts w:ascii="Open Sans" w:hAnsi="Open Sans" w:cs="Open Sans"/>
        </w:rPr>
        <w:t>Even though paper use is decreasing in companies, offsite records storage bills keep going up, and Legal often has to pay the bill. On average, less than 30% of record storage costs are actually the monthly storage fees. Faced with decreasing volumes, record storage companies have found other fees, surcharges and other tactics to keep costs highly cloaked in byzantine agreements and error-prone billing systems. This hands-on, practical session will review finding billing errors, figuring out where you really spend money, recouping fees generated from billing errors and how to save significantly going forward.</w:t>
      </w:r>
    </w:p>
    <w:p w14:paraId="671F6BDA" w14:textId="77777777" w:rsidR="003E6ACB" w:rsidRPr="003E6ACB" w:rsidRDefault="003E6ACB" w:rsidP="003E6ACB">
      <w:pPr>
        <w:pStyle w:val="PlainText"/>
        <w:rPr>
          <w:rFonts w:ascii="Open Sans" w:hAnsi="Open Sans" w:cs="Open Sans"/>
        </w:rPr>
      </w:pPr>
      <w:r w:rsidRPr="003E6ACB">
        <w:rPr>
          <w:rFonts w:ascii="Open Sans" w:hAnsi="Open Sans" w:cs="Open Sans"/>
        </w:rPr>
        <w:t xml:space="preserve">To view the webinar, </w:t>
      </w:r>
      <w:hyperlink r:id="rId12" w:history="1">
        <w:r w:rsidRPr="003E6ACB">
          <w:rPr>
            <w:rStyle w:val="Hyperlink"/>
            <w:rFonts w:ascii="Open Sans" w:hAnsi="Open Sans" w:cs="Open Sans"/>
          </w:rPr>
          <w:t>click here</w:t>
        </w:r>
      </w:hyperlink>
      <w:r w:rsidRPr="003E6ACB">
        <w:rPr>
          <w:rFonts w:ascii="Open Sans" w:hAnsi="Open Sans" w:cs="Open Sans"/>
        </w:rPr>
        <w:t xml:space="preserve">. </w:t>
      </w:r>
      <w:bookmarkStart w:id="3" w:name="_GoBack"/>
      <w:bookmarkEnd w:id="3"/>
    </w:p>
    <w:p w14:paraId="46CAC04C" w14:textId="77777777" w:rsidR="003E6ACB" w:rsidRPr="003E6ACB" w:rsidRDefault="003E6ACB" w:rsidP="003E6ACB"/>
    <w:p w14:paraId="223BDAC0" w14:textId="6B7CF257" w:rsidR="000D216A" w:rsidRPr="000D216A" w:rsidRDefault="003E6ACB" w:rsidP="000D216A">
      <w:pPr>
        <w:pStyle w:val="Heading2"/>
        <w:rPr>
          <w:rStyle w:val="Strong"/>
          <w:rFonts w:ascii="Open Sans" w:hAnsi="Open Sans" w:cs="Open Sans"/>
        </w:rPr>
      </w:pPr>
      <w:r w:rsidRPr="000D216A">
        <w:rPr>
          <w:rStyle w:val="Strong"/>
          <w:rFonts w:ascii="Open Sans" w:hAnsi="Open Sans" w:cs="Open Sans"/>
        </w:rPr>
        <w:t>About</w:t>
      </w:r>
      <w:r>
        <w:rPr>
          <w:rStyle w:val="Strong"/>
          <w:rFonts w:ascii="Open Sans" w:hAnsi="Open Sans" w:cs="Open Sans"/>
        </w:rPr>
        <w:t xml:space="preserve"> Contoural</w:t>
      </w:r>
    </w:p>
    <w:p w14:paraId="5C930D9F" w14:textId="77777777" w:rsidR="000D216A" w:rsidRPr="000D216A" w:rsidRDefault="000D216A" w:rsidP="000D216A">
      <w:pPr>
        <w:rPr>
          <w:rFonts w:ascii="Open Sans" w:hAnsi="Open Sans" w:cs="Open Sans"/>
          <w:color w:val="FF0000"/>
        </w:rPr>
      </w:pPr>
      <w:r w:rsidRPr="000D216A">
        <w:rPr>
          <w:rFonts w:ascii="Open Sans" w:hAnsi="Open Sans" w:cs="Open Sans"/>
        </w:rPr>
        <w:t xml:space="preserve">Contoural is the largest independent provider of privacy and Information Governance consulting services. Selling no products nor providing any “reactive” eDiscovery services the company serves as a trusted advisor to more than 30% of the Fortune 500 as well as numerous small and medium-sized enterprises. Contoural is sponsor of ACC’s Information Governance Network as well as sponsor of ACC’s Legal Operations Network Records Management Toolkit.  Additional information is available at </w:t>
      </w:r>
      <w:hyperlink r:id="rId13" w:history="1">
        <w:r w:rsidRPr="000D216A">
          <w:rPr>
            <w:rStyle w:val="Hyperlink"/>
            <w:rFonts w:ascii="Open Sans" w:hAnsi="Open Sans" w:cs="Open Sans"/>
          </w:rPr>
          <w:t>www.contoural.com</w:t>
        </w:r>
      </w:hyperlink>
      <w:r w:rsidRPr="000D216A">
        <w:rPr>
          <w:rFonts w:ascii="Open Sans" w:hAnsi="Open Sans" w:cs="Open Sans"/>
        </w:rPr>
        <w:t xml:space="preserve">. </w:t>
      </w:r>
    </w:p>
    <w:bookmarkEnd w:id="2"/>
    <w:p w14:paraId="7ACA363D" w14:textId="0C1F333C" w:rsidR="004822EA" w:rsidRPr="000D216A" w:rsidRDefault="004822EA" w:rsidP="00B279D5">
      <w:pPr>
        <w:pStyle w:val="Heading2"/>
        <w:keepLines w:val="0"/>
        <w:spacing w:before="480" w:after="120" w:line="276" w:lineRule="auto"/>
        <w:rPr>
          <w:rFonts w:ascii="Open Sans" w:hAnsi="Open Sans" w:cs="Open Sans"/>
        </w:rPr>
      </w:pPr>
    </w:p>
    <w:sectPr w:rsidR="004822EA" w:rsidRPr="000D216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332B9" w14:textId="77777777" w:rsidR="008C38FE" w:rsidRDefault="008C38FE" w:rsidP="00A100E3">
      <w:pPr>
        <w:spacing w:after="0" w:line="240" w:lineRule="auto"/>
      </w:pPr>
      <w:r>
        <w:separator/>
      </w:r>
    </w:p>
  </w:endnote>
  <w:endnote w:type="continuationSeparator" w:id="0">
    <w:p w14:paraId="3629FA6A" w14:textId="77777777" w:rsidR="008C38FE" w:rsidRDefault="008C38FE" w:rsidP="00A10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BB29" w14:textId="77777777" w:rsidR="00617F3C" w:rsidRDefault="00617F3C">
    <w:pPr>
      <w:pStyle w:val="Footer"/>
    </w:pPr>
    <w:r>
      <w:t xml:space="preserve">Copyright © Contoural </w:t>
    </w:r>
    <w:r w:rsidR="004822EA">
      <w:t>2018</w:t>
    </w:r>
    <w:r>
      <w:tab/>
    </w:r>
    <w:r>
      <w:fldChar w:fldCharType="begin"/>
    </w:r>
    <w:r>
      <w:instrText xml:space="preserve"> PAGE   \* MERGEFORMAT </w:instrText>
    </w:r>
    <w:r>
      <w:fldChar w:fldCharType="separate"/>
    </w:r>
    <w:r w:rsidR="00A270EF">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DFA32" w14:textId="77777777" w:rsidR="008C38FE" w:rsidRDefault="008C38FE" w:rsidP="00A100E3">
      <w:pPr>
        <w:spacing w:after="0" w:line="240" w:lineRule="auto"/>
      </w:pPr>
      <w:r>
        <w:separator/>
      </w:r>
    </w:p>
  </w:footnote>
  <w:footnote w:type="continuationSeparator" w:id="0">
    <w:p w14:paraId="3DAABA7F" w14:textId="77777777" w:rsidR="008C38FE" w:rsidRDefault="008C38FE" w:rsidP="00A10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9F1"/>
    <w:multiLevelType w:val="hybridMultilevel"/>
    <w:tmpl w:val="16FAD59C"/>
    <w:lvl w:ilvl="0" w:tplc="04090001">
      <w:start w:val="1"/>
      <w:numFmt w:val="bullet"/>
      <w:lvlText w:val=""/>
      <w:lvlJc w:val="left"/>
      <w:pPr>
        <w:ind w:left="3696" w:hanging="360"/>
      </w:pPr>
      <w:rPr>
        <w:rFonts w:ascii="Symbol" w:hAnsi="Symbol" w:hint="default"/>
      </w:rPr>
    </w:lvl>
    <w:lvl w:ilvl="1" w:tplc="04090003" w:tentative="1">
      <w:start w:val="1"/>
      <w:numFmt w:val="bullet"/>
      <w:lvlText w:val="o"/>
      <w:lvlJc w:val="left"/>
      <w:pPr>
        <w:ind w:left="4416" w:hanging="360"/>
      </w:pPr>
      <w:rPr>
        <w:rFonts w:ascii="Courier New" w:hAnsi="Courier New" w:cs="Courier New" w:hint="default"/>
      </w:rPr>
    </w:lvl>
    <w:lvl w:ilvl="2" w:tplc="04090005" w:tentative="1">
      <w:start w:val="1"/>
      <w:numFmt w:val="bullet"/>
      <w:lvlText w:val=""/>
      <w:lvlJc w:val="left"/>
      <w:pPr>
        <w:ind w:left="5136" w:hanging="360"/>
      </w:pPr>
      <w:rPr>
        <w:rFonts w:ascii="Wingdings" w:hAnsi="Wingdings" w:hint="default"/>
      </w:rPr>
    </w:lvl>
    <w:lvl w:ilvl="3" w:tplc="04090001" w:tentative="1">
      <w:start w:val="1"/>
      <w:numFmt w:val="bullet"/>
      <w:lvlText w:val=""/>
      <w:lvlJc w:val="left"/>
      <w:pPr>
        <w:ind w:left="5856" w:hanging="360"/>
      </w:pPr>
      <w:rPr>
        <w:rFonts w:ascii="Symbol" w:hAnsi="Symbol" w:hint="default"/>
      </w:rPr>
    </w:lvl>
    <w:lvl w:ilvl="4" w:tplc="04090003" w:tentative="1">
      <w:start w:val="1"/>
      <w:numFmt w:val="bullet"/>
      <w:lvlText w:val="o"/>
      <w:lvlJc w:val="left"/>
      <w:pPr>
        <w:ind w:left="6576" w:hanging="360"/>
      </w:pPr>
      <w:rPr>
        <w:rFonts w:ascii="Courier New" w:hAnsi="Courier New" w:cs="Courier New" w:hint="default"/>
      </w:rPr>
    </w:lvl>
    <w:lvl w:ilvl="5" w:tplc="04090005" w:tentative="1">
      <w:start w:val="1"/>
      <w:numFmt w:val="bullet"/>
      <w:lvlText w:val=""/>
      <w:lvlJc w:val="left"/>
      <w:pPr>
        <w:ind w:left="7296" w:hanging="360"/>
      </w:pPr>
      <w:rPr>
        <w:rFonts w:ascii="Wingdings" w:hAnsi="Wingdings" w:hint="default"/>
      </w:rPr>
    </w:lvl>
    <w:lvl w:ilvl="6" w:tplc="04090001" w:tentative="1">
      <w:start w:val="1"/>
      <w:numFmt w:val="bullet"/>
      <w:lvlText w:val=""/>
      <w:lvlJc w:val="left"/>
      <w:pPr>
        <w:ind w:left="8016" w:hanging="360"/>
      </w:pPr>
      <w:rPr>
        <w:rFonts w:ascii="Symbol" w:hAnsi="Symbol" w:hint="default"/>
      </w:rPr>
    </w:lvl>
    <w:lvl w:ilvl="7" w:tplc="04090003" w:tentative="1">
      <w:start w:val="1"/>
      <w:numFmt w:val="bullet"/>
      <w:lvlText w:val="o"/>
      <w:lvlJc w:val="left"/>
      <w:pPr>
        <w:ind w:left="8736" w:hanging="360"/>
      </w:pPr>
      <w:rPr>
        <w:rFonts w:ascii="Courier New" w:hAnsi="Courier New" w:cs="Courier New" w:hint="default"/>
      </w:rPr>
    </w:lvl>
    <w:lvl w:ilvl="8" w:tplc="04090005" w:tentative="1">
      <w:start w:val="1"/>
      <w:numFmt w:val="bullet"/>
      <w:lvlText w:val=""/>
      <w:lvlJc w:val="left"/>
      <w:pPr>
        <w:ind w:left="9456" w:hanging="360"/>
      </w:pPr>
      <w:rPr>
        <w:rFonts w:ascii="Wingdings" w:hAnsi="Wingdings" w:hint="default"/>
      </w:rPr>
    </w:lvl>
  </w:abstractNum>
  <w:abstractNum w:abstractNumId="1" w15:restartNumberingAfterBreak="0">
    <w:nsid w:val="07586A95"/>
    <w:multiLevelType w:val="hybridMultilevel"/>
    <w:tmpl w:val="4F141A72"/>
    <w:lvl w:ilvl="0" w:tplc="F9C47D90">
      <w:start w:val="1"/>
      <w:numFmt w:val="bullet"/>
      <w:lvlText w:val=""/>
      <w:lvlJc w:val="left"/>
      <w:pPr>
        <w:tabs>
          <w:tab w:val="num" w:pos="720"/>
        </w:tabs>
        <w:ind w:left="720" w:hanging="360"/>
      </w:pPr>
      <w:rPr>
        <w:rFonts w:ascii="Wingdings" w:hAnsi="Wingdings" w:hint="default"/>
      </w:rPr>
    </w:lvl>
    <w:lvl w:ilvl="1" w:tplc="8B3018CA" w:tentative="1">
      <w:start w:val="1"/>
      <w:numFmt w:val="bullet"/>
      <w:lvlText w:val=""/>
      <w:lvlJc w:val="left"/>
      <w:pPr>
        <w:tabs>
          <w:tab w:val="num" w:pos="1440"/>
        </w:tabs>
        <w:ind w:left="1440" w:hanging="360"/>
      </w:pPr>
      <w:rPr>
        <w:rFonts w:ascii="Wingdings" w:hAnsi="Wingdings" w:hint="default"/>
      </w:rPr>
    </w:lvl>
    <w:lvl w:ilvl="2" w:tplc="541871B0">
      <w:start w:val="1"/>
      <w:numFmt w:val="bullet"/>
      <w:lvlText w:val=""/>
      <w:lvlJc w:val="left"/>
      <w:pPr>
        <w:tabs>
          <w:tab w:val="num" w:pos="2160"/>
        </w:tabs>
        <w:ind w:left="2160" w:hanging="360"/>
      </w:pPr>
      <w:rPr>
        <w:rFonts w:ascii="Wingdings" w:hAnsi="Wingdings" w:hint="default"/>
      </w:rPr>
    </w:lvl>
    <w:lvl w:ilvl="3" w:tplc="E550DE18" w:tentative="1">
      <w:start w:val="1"/>
      <w:numFmt w:val="bullet"/>
      <w:lvlText w:val=""/>
      <w:lvlJc w:val="left"/>
      <w:pPr>
        <w:tabs>
          <w:tab w:val="num" w:pos="2880"/>
        </w:tabs>
        <w:ind w:left="2880" w:hanging="360"/>
      </w:pPr>
      <w:rPr>
        <w:rFonts w:ascii="Wingdings" w:hAnsi="Wingdings" w:hint="default"/>
      </w:rPr>
    </w:lvl>
    <w:lvl w:ilvl="4" w:tplc="D4D6BC94" w:tentative="1">
      <w:start w:val="1"/>
      <w:numFmt w:val="bullet"/>
      <w:lvlText w:val=""/>
      <w:lvlJc w:val="left"/>
      <w:pPr>
        <w:tabs>
          <w:tab w:val="num" w:pos="3600"/>
        </w:tabs>
        <w:ind w:left="3600" w:hanging="360"/>
      </w:pPr>
      <w:rPr>
        <w:rFonts w:ascii="Wingdings" w:hAnsi="Wingdings" w:hint="default"/>
      </w:rPr>
    </w:lvl>
    <w:lvl w:ilvl="5" w:tplc="03D8DA76" w:tentative="1">
      <w:start w:val="1"/>
      <w:numFmt w:val="bullet"/>
      <w:lvlText w:val=""/>
      <w:lvlJc w:val="left"/>
      <w:pPr>
        <w:tabs>
          <w:tab w:val="num" w:pos="4320"/>
        </w:tabs>
        <w:ind w:left="4320" w:hanging="360"/>
      </w:pPr>
      <w:rPr>
        <w:rFonts w:ascii="Wingdings" w:hAnsi="Wingdings" w:hint="default"/>
      </w:rPr>
    </w:lvl>
    <w:lvl w:ilvl="6" w:tplc="86EA6218" w:tentative="1">
      <w:start w:val="1"/>
      <w:numFmt w:val="bullet"/>
      <w:lvlText w:val=""/>
      <w:lvlJc w:val="left"/>
      <w:pPr>
        <w:tabs>
          <w:tab w:val="num" w:pos="5040"/>
        </w:tabs>
        <w:ind w:left="5040" w:hanging="360"/>
      </w:pPr>
      <w:rPr>
        <w:rFonts w:ascii="Wingdings" w:hAnsi="Wingdings" w:hint="default"/>
      </w:rPr>
    </w:lvl>
    <w:lvl w:ilvl="7" w:tplc="A9362810" w:tentative="1">
      <w:start w:val="1"/>
      <w:numFmt w:val="bullet"/>
      <w:lvlText w:val=""/>
      <w:lvlJc w:val="left"/>
      <w:pPr>
        <w:tabs>
          <w:tab w:val="num" w:pos="5760"/>
        </w:tabs>
        <w:ind w:left="5760" w:hanging="360"/>
      </w:pPr>
      <w:rPr>
        <w:rFonts w:ascii="Wingdings" w:hAnsi="Wingdings" w:hint="default"/>
      </w:rPr>
    </w:lvl>
    <w:lvl w:ilvl="8" w:tplc="6C6284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67A06"/>
    <w:multiLevelType w:val="hybridMultilevel"/>
    <w:tmpl w:val="6ADE2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D6920"/>
    <w:multiLevelType w:val="hybridMultilevel"/>
    <w:tmpl w:val="5876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6D1F"/>
    <w:multiLevelType w:val="hybridMultilevel"/>
    <w:tmpl w:val="3B9EA17A"/>
    <w:lvl w:ilvl="0" w:tplc="F034AC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34752"/>
    <w:multiLevelType w:val="hybridMultilevel"/>
    <w:tmpl w:val="6AC21F7C"/>
    <w:lvl w:ilvl="0" w:tplc="41D84B1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34C9E"/>
    <w:multiLevelType w:val="hybridMultilevel"/>
    <w:tmpl w:val="FE76797C"/>
    <w:lvl w:ilvl="0" w:tplc="1A1C10D4">
      <w:start w:val="1"/>
      <w:numFmt w:val="bullet"/>
      <w:lvlText w:val=""/>
      <w:lvlJc w:val="left"/>
      <w:pPr>
        <w:tabs>
          <w:tab w:val="num" w:pos="720"/>
        </w:tabs>
        <w:ind w:left="720" w:hanging="360"/>
      </w:pPr>
      <w:rPr>
        <w:rFonts w:ascii="Wingdings" w:hAnsi="Wingdings" w:hint="default"/>
      </w:rPr>
    </w:lvl>
    <w:lvl w:ilvl="1" w:tplc="1BA26310">
      <w:start w:val="1"/>
      <w:numFmt w:val="bullet"/>
      <w:lvlText w:val=""/>
      <w:lvlJc w:val="left"/>
      <w:pPr>
        <w:tabs>
          <w:tab w:val="num" w:pos="1440"/>
        </w:tabs>
        <w:ind w:left="1440" w:hanging="360"/>
      </w:pPr>
      <w:rPr>
        <w:rFonts w:ascii="Wingdings" w:hAnsi="Wingdings" w:hint="default"/>
      </w:rPr>
    </w:lvl>
    <w:lvl w:ilvl="2" w:tplc="F1AACBB6" w:tentative="1">
      <w:start w:val="1"/>
      <w:numFmt w:val="bullet"/>
      <w:lvlText w:val=""/>
      <w:lvlJc w:val="left"/>
      <w:pPr>
        <w:tabs>
          <w:tab w:val="num" w:pos="2160"/>
        </w:tabs>
        <w:ind w:left="2160" w:hanging="360"/>
      </w:pPr>
      <w:rPr>
        <w:rFonts w:ascii="Wingdings" w:hAnsi="Wingdings" w:hint="default"/>
      </w:rPr>
    </w:lvl>
    <w:lvl w:ilvl="3" w:tplc="B072771E" w:tentative="1">
      <w:start w:val="1"/>
      <w:numFmt w:val="bullet"/>
      <w:lvlText w:val=""/>
      <w:lvlJc w:val="left"/>
      <w:pPr>
        <w:tabs>
          <w:tab w:val="num" w:pos="2880"/>
        </w:tabs>
        <w:ind w:left="2880" w:hanging="360"/>
      </w:pPr>
      <w:rPr>
        <w:rFonts w:ascii="Wingdings" w:hAnsi="Wingdings" w:hint="default"/>
      </w:rPr>
    </w:lvl>
    <w:lvl w:ilvl="4" w:tplc="4D007DEC" w:tentative="1">
      <w:start w:val="1"/>
      <w:numFmt w:val="bullet"/>
      <w:lvlText w:val=""/>
      <w:lvlJc w:val="left"/>
      <w:pPr>
        <w:tabs>
          <w:tab w:val="num" w:pos="3600"/>
        </w:tabs>
        <w:ind w:left="3600" w:hanging="360"/>
      </w:pPr>
      <w:rPr>
        <w:rFonts w:ascii="Wingdings" w:hAnsi="Wingdings" w:hint="default"/>
      </w:rPr>
    </w:lvl>
    <w:lvl w:ilvl="5" w:tplc="3D647F66" w:tentative="1">
      <w:start w:val="1"/>
      <w:numFmt w:val="bullet"/>
      <w:lvlText w:val=""/>
      <w:lvlJc w:val="left"/>
      <w:pPr>
        <w:tabs>
          <w:tab w:val="num" w:pos="4320"/>
        </w:tabs>
        <w:ind w:left="4320" w:hanging="360"/>
      </w:pPr>
      <w:rPr>
        <w:rFonts w:ascii="Wingdings" w:hAnsi="Wingdings" w:hint="default"/>
      </w:rPr>
    </w:lvl>
    <w:lvl w:ilvl="6" w:tplc="E788DE28" w:tentative="1">
      <w:start w:val="1"/>
      <w:numFmt w:val="bullet"/>
      <w:lvlText w:val=""/>
      <w:lvlJc w:val="left"/>
      <w:pPr>
        <w:tabs>
          <w:tab w:val="num" w:pos="5040"/>
        </w:tabs>
        <w:ind w:left="5040" w:hanging="360"/>
      </w:pPr>
      <w:rPr>
        <w:rFonts w:ascii="Wingdings" w:hAnsi="Wingdings" w:hint="default"/>
      </w:rPr>
    </w:lvl>
    <w:lvl w:ilvl="7" w:tplc="4AD8B4E6" w:tentative="1">
      <w:start w:val="1"/>
      <w:numFmt w:val="bullet"/>
      <w:lvlText w:val=""/>
      <w:lvlJc w:val="left"/>
      <w:pPr>
        <w:tabs>
          <w:tab w:val="num" w:pos="5760"/>
        </w:tabs>
        <w:ind w:left="5760" w:hanging="360"/>
      </w:pPr>
      <w:rPr>
        <w:rFonts w:ascii="Wingdings" w:hAnsi="Wingdings" w:hint="default"/>
      </w:rPr>
    </w:lvl>
    <w:lvl w:ilvl="8" w:tplc="70CEE9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D2F89"/>
    <w:multiLevelType w:val="hybridMultilevel"/>
    <w:tmpl w:val="93E41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FB5BCE"/>
    <w:multiLevelType w:val="hybridMultilevel"/>
    <w:tmpl w:val="61BAA8BC"/>
    <w:lvl w:ilvl="0" w:tplc="BE123E84">
      <w:start w:val="1"/>
      <w:numFmt w:val="bullet"/>
      <w:lvlText w:val=""/>
      <w:lvlJc w:val="left"/>
      <w:pPr>
        <w:tabs>
          <w:tab w:val="num" w:pos="720"/>
        </w:tabs>
        <w:ind w:left="720" w:hanging="360"/>
      </w:pPr>
      <w:rPr>
        <w:rFonts w:ascii="Wingdings" w:hAnsi="Wingdings" w:hint="default"/>
      </w:rPr>
    </w:lvl>
    <w:lvl w:ilvl="1" w:tplc="A336CE6C" w:tentative="1">
      <w:start w:val="1"/>
      <w:numFmt w:val="bullet"/>
      <w:lvlText w:val=""/>
      <w:lvlJc w:val="left"/>
      <w:pPr>
        <w:tabs>
          <w:tab w:val="num" w:pos="1440"/>
        </w:tabs>
        <w:ind w:left="1440" w:hanging="360"/>
      </w:pPr>
      <w:rPr>
        <w:rFonts w:ascii="Wingdings" w:hAnsi="Wingdings" w:hint="default"/>
      </w:rPr>
    </w:lvl>
    <w:lvl w:ilvl="2" w:tplc="A9746E14" w:tentative="1">
      <w:start w:val="1"/>
      <w:numFmt w:val="bullet"/>
      <w:lvlText w:val=""/>
      <w:lvlJc w:val="left"/>
      <w:pPr>
        <w:tabs>
          <w:tab w:val="num" w:pos="2160"/>
        </w:tabs>
        <w:ind w:left="2160" w:hanging="360"/>
      </w:pPr>
      <w:rPr>
        <w:rFonts w:ascii="Wingdings" w:hAnsi="Wingdings" w:hint="default"/>
      </w:rPr>
    </w:lvl>
    <w:lvl w:ilvl="3" w:tplc="5ECE89FA">
      <w:start w:val="1"/>
      <w:numFmt w:val="bullet"/>
      <w:lvlText w:val=""/>
      <w:lvlJc w:val="left"/>
      <w:pPr>
        <w:tabs>
          <w:tab w:val="num" w:pos="2880"/>
        </w:tabs>
        <w:ind w:left="2880" w:hanging="360"/>
      </w:pPr>
      <w:rPr>
        <w:rFonts w:ascii="Wingdings" w:hAnsi="Wingdings" w:hint="default"/>
      </w:rPr>
    </w:lvl>
    <w:lvl w:ilvl="4" w:tplc="C8BA3B86" w:tentative="1">
      <w:start w:val="1"/>
      <w:numFmt w:val="bullet"/>
      <w:lvlText w:val=""/>
      <w:lvlJc w:val="left"/>
      <w:pPr>
        <w:tabs>
          <w:tab w:val="num" w:pos="3600"/>
        </w:tabs>
        <w:ind w:left="3600" w:hanging="360"/>
      </w:pPr>
      <w:rPr>
        <w:rFonts w:ascii="Wingdings" w:hAnsi="Wingdings" w:hint="default"/>
      </w:rPr>
    </w:lvl>
    <w:lvl w:ilvl="5" w:tplc="CCC8D124" w:tentative="1">
      <w:start w:val="1"/>
      <w:numFmt w:val="bullet"/>
      <w:lvlText w:val=""/>
      <w:lvlJc w:val="left"/>
      <w:pPr>
        <w:tabs>
          <w:tab w:val="num" w:pos="4320"/>
        </w:tabs>
        <w:ind w:left="4320" w:hanging="360"/>
      </w:pPr>
      <w:rPr>
        <w:rFonts w:ascii="Wingdings" w:hAnsi="Wingdings" w:hint="default"/>
      </w:rPr>
    </w:lvl>
    <w:lvl w:ilvl="6" w:tplc="0C12521A" w:tentative="1">
      <w:start w:val="1"/>
      <w:numFmt w:val="bullet"/>
      <w:lvlText w:val=""/>
      <w:lvlJc w:val="left"/>
      <w:pPr>
        <w:tabs>
          <w:tab w:val="num" w:pos="5040"/>
        </w:tabs>
        <w:ind w:left="5040" w:hanging="360"/>
      </w:pPr>
      <w:rPr>
        <w:rFonts w:ascii="Wingdings" w:hAnsi="Wingdings" w:hint="default"/>
      </w:rPr>
    </w:lvl>
    <w:lvl w:ilvl="7" w:tplc="10481446" w:tentative="1">
      <w:start w:val="1"/>
      <w:numFmt w:val="bullet"/>
      <w:lvlText w:val=""/>
      <w:lvlJc w:val="left"/>
      <w:pPr>
        <w:tabs>
          <w:tab w:val="num" w:pos="5760"/>
        </w:tabs>
        <w:ind w:left="5760" w:hanging="360"/>
      </w:pPr>
      <w:rPr>
        <w:rFonts w:ascii="Wingdings" w:hAnsi="Wingdings" w:hint="default"/>
      </w:rPr>
    </w:lvl>
    <w:lvl w:ilvl="8" w:tplc="0226DA3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151F1"/>
    <w:multiLevelType w:val="hybridMultilevel"/>
    <w:tmpl w:val="B772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94005"/>
    <w:multiLevelType w:val="hybridMultilevel"/>
    <w:tmpl w:val="7112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C560E"/>
    <w:multiLevelType w:val="hybridMultilevel"/>
    <w:tmpl w:val="5768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C3ECE"/>
    <w:multiLevelType w:val="hybridMultilevel"/>
    <w:tmpl w:val="5F6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C02A3"/>
    <w:multiLevelType w:val="hybridMultilevel"/>
    <w:tmpl w:val="C786FA2E"/>
    <w:lvl w:ilvl="0" w:tplc="AA16BC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27F15"/>
    <w:multiLevelType w:val="hybridMultilevel"/>
    <w:tmpl w:val="2864D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709F9"/>
    <w:multiLevelType w:val="hybridMultilevel"/>
    <w:tmpl w:val="334EA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47A7D"/>
    <w:multiLevelType w:val="hybridMultilevel"/>
    <w:tmpl w:val="B6044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312E40"/>
    <w:multiLevelType w:val="hybridMultilevel"/>
    <w:tmpl w:val="B4BC4114"/>
    <w:lvl w:ilvl="0" w:tplc="0A722AA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A7F6A"/>
    <w:multiLevelType w:val="hybridMultilevel"/>
    <w:tmpl w:val="B96C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E31768"/>
    <w:multiLevelType w:val="hybridMultilevel"/>
    <w:tmpl w:val="2E304580"/>
    <w:lvl w:ilvl="0" w:tplc="CF4E79A0">
      <w:start w:val="1"/>
      <w:numFmt w:val="bullet"/>
      <w:lvlText w:val=""/>
      <w:lvlJc w:val="left"/>
      <w:pPr>
        <w:tabs>
          <w:tab w:val="num" w:pos="720"/>
        </w:tabs>
        <w:ind w:left="720" w:hanging="360"/>
      </w:pPr>
      <w:rPr>
        <w:rFonts w:ascii="Wingdings" w:hAnsi="Wingdings" w:hint="default"/>
      </w:rPr>
    </w:lvl>
    <w:lvl w:ilvl="1" w:tplc="64323798">
      <w:start w:val="1"/>
      <w:numFmt w:val="bullet"/>
      <w:lvlText w:val=""/>
      <w:lvlJc w:val="left"/>
      <w:pPr>
        <w:tabs>
          <w:tab w:val="num" w:pos="1440"/>
        </w:tabs>
        <w:ind w:left="1440" w:hanging="360"/>
      </w:pPr>
      <w:rPr>
        <w:rFonts w:ascii="Wingdings" w:hAnsi="Wingdings" w:hint="default"/>
      </w:rPr>
    </w:lvl>
    <w:lvl w:ilvl="2" w:tplc="47060506" w:tentative="1">
      <w:start w:val="1"/>
      <w:numFmt w:val="bullet"/>
      <w:lvlText w:val=""/>
      <w:lvlJc w:val="left"/>
      <w:pPr>
        <w:tabs>
          <w:tab w:val="num" w:pos="2160"/>
        </w:tabs>
        <w:ind w:left="2160" w:hanging="360"/>
      </w:pPr>
      <w:rPr>
        <w:rFonts w:ascii="Wingdings" w:hAnsi="Wingdings" w:hint="default"/>
      </w:rPr>
    </w:lvl>
    <w:lvl w:ilvl="3" w:tplc="3B4C24FE" w:tentative="1">
      <w:start w:val="1"/>
      <w:numFmt w:val="bullet"/>
      <w:lvlText w:val=""/>
      <w:lvlJc w:val="left"/>
      <w:pPr>
        <w:tabs>
          <w:tab w:val="num" w:pos="2880"/>
        </w:tabs>
        <w:ind w:left="2880" w:hanging="360"/>
      </w:pPr>
      <w:rPr>
        <w:rFonts w:ascii="Wingdings" w:hAnsi="Wingdings" w:hint="default"/>
      </w:rPr>
    </w:lvl>
    <w:lvl w:ilvl="4" w:tplc="8F1A8492" w:tentative="1">
      <w:start w:val="1"/>
      <w:numFmt w:val="bullet"/>
      <w:lvlText w:val=""/>
      <w:lvlJc w:val="left"/>
      <w:pPr>
        <w:tabs>
          <w:tab w:val="num" w:pos="3600"/>
        </w:tabs>
        <w:ind w:left="3600" w:hanging="360"/>
      </w:pPr>
      <w:rPr>
        <w:rFonts w:ascii="Wingdings" w:hAnsi="Wingdings" w:hint="default"/>
      </w:rPr>
    </w:lvl>
    <w:lvl w:ilvl="5" w:tplc="5ECAF764" w:tentative="1">
      <w:start w:val="1"/>
      <w:numFmt w:val="bullet"/>
      <w:lvlText w:val=""/>
      <w:lvlJc w:val="left"/>
      <w:pPr>
        <w:tabs>
          <w:tab w:val="num" w:pos="4320"/>
        </w:tabs>
        <w:ind w:left="4320" w:hanging="360"/>
      </w:pPr>
      <w:rPr>
        <w:rFonts w:ascii="Wingdings" w:hAnsi="Wingdings" w:hint="default"/>
      </w:rPr>
    </w:lvl>
    <w:lvl w:ilvl="6" w:tplc="3FC8357E" w:tentative="1">
      <w:start w:val="1"/>
      <w:numFmt w:val="bullet"/>
      <w:lvlText w:val=""/>
      <w:lvlJc w:val="left"/>
      <w:pPr>
        <w:tabs>
          <w:tab w:val="num" w:pos="5040"/>
        </w:tabs>
        <w:ind w:left="5040" w:hanging="360"/>
      </w:pPr>
      <w:rPr>
        <w:rFonts w:ascii="Wingdings" w:hAnsi="Wingdings" w:hint="default"/>
      </w:rPr>
    </w:lvl>
    <w:lvl w:ilvl="7" w:tplc="7CBA4FFC" w:tentative="1">
      <w:start w:val="1"/>
      <w:numFmt w:val="bullet"/>
      <w:lvlText w:val=""/>
      <w:lvlJc w:val="left"/>
      <w:pPr>
        <w:tabs>
          <w:tab w:val="num" w:pos="5760"/>
        </w:tabs>
        <w:ind w:left="5760" w:hanging="360"/>
      </w:pPr>
      <w:rPr>
        <w:rFonts w:ascii="Wingdings" w:hAnsi="Wingdings" w:hint="default"/>
      </w:rPr>
    </w:lvl>
    <w:lvl w:ilvl="8" w:tplc="014E573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2E4F08"/>
    <w:multiLevelType w:val="hybridMultilevel"/>
    <w:tmpl w:val="5264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464625"/>
    <w:multiLevelType w:val="hybridMultilevel"/>
    <w:tmpl w:val="9C588B10"/>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2" w15:restartNumberingAfterBreak="0">
    <w:nsid w:val="754951DE"/>
    <w:multiLevelType w:val="hybridMultilevel"/>
    <w:tmpl w:val="F842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E323C9"/>
    <w:multiLevelType w:val="hybridMultilevel"/>
    <w:tmpl w:val="1EF4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23D57"/>
    <w:multiLevelType w:val="hybridMultilevel"/>
    <w:tmpl w:val="DFD2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9539D7"/>
    <w:multiLevelType w:val="hybridMultilevel"/>
    <w:tmpl w:val="50A2D7C4"/>
    <w:lvl w:ilvl="0" w:tplc="3B3021E8">
      <w:start w:val="1"/>
      <w:numFmt w:val="bullet"/>
      <w:lvlText w:val=""/>
      <w:lvlJc w:val="left"/>
      <w:pPr>
        <w:tabs>
          <w:tab w:val="num" w:pos="720"/>
        </w:tabs>
        <w:ind w:left="720" w:hanging="360"/>
      </w:pPr>
      <w:rPr>
        <w:rFonts w:ascii="Wingdings" w:hAnsi="Wingdings" w:hint="default"/>
      </w:rPr>
    </w:lvl>
    <w:lvl w:ilvl="1" w:tplc="292AB824" w:tentative="1">
      <w:start w:val="1"/>
      <w:numFmt w:val="bullet"/>
      <w:lvlText w:val=""/>
      <w:lvlJc w:val="left"/>
      <w:pPr>
        <w:tabs>
          <w:tab w:val="num" w:pos="1440"/>
        </w:tabs>
        <w:ind w:left="1440" w:hanging="360"/>
      </w:pPr>
      <w:rPr>
        <w:rFonts w:ascii="Wingdings" w:hAnsi="Wingdings" w:hint="default"/>
      </w:rPr>
    </w:lvl>
    <w:lvl w:ilvl="2" w:tplc="EE606516" w:tentative="1">
      <w:start w:val="1"/>
      <w:numFmt w:val="bullet"/>
      <w:lvlText w:val=""/>
      <w:lvlJc w:val="left"/>
      <w:pPr>
        <w:tabs>
          <w:tab w:val="num" w:pos="2160"/>
        </w:tabs>
        <w:ind w:left="2160" w:hanging="360"/>
      </w:pPr>
      <w:rPr>
        <w:rFonts w:ascii="Wingdings" w:hAnsi="Wingdings" w:hint="default"/>
      </w:rPr>
    </w:lvl>
    <w:lvl w:ilvl="3" w:tplc="85FEC3B4">
      <w:start w:val="1"/>
      <w:numFmt w:val="bullet"/>
      <w:lvlText w:val=""/>
      <w:lvlJc w:val="left"/>
      <w:pPr>
        <w:tabs>
          <w:tab w:val="num" w:pos="2880"/>
        </w:tabs>
        <w:ind w:left="2880" w:hanging="360"/>
      </w:pPr>
      <w:rPr>
        <w:rFonts w:ascii="Wingdings" w:hAnsi="Wingdings" w:hint="default"/>
      </w:rPr>
    </w:lvl>
    <w:lvl w:ilvl="4" w:tplc="6C78B274" w:tentative="1">
      <w:start w:val="1"/>
      <w:numFmt w:val="bullet"/>
      <w:lvlText w:val=""/>
      <w:lvlJc w:val="left"/>
      <w:pPr>
        <w:tabs>
          <w:tab w:val="num" w:pos="3600"/>
        </w:tabs>
        <w:ind w:left="3600" w:hanging="360"/>
      </w:pPr>
      <w:rPr>
        <w:rFonts w:ascii="Wingdings" w:hAnsi="Wingdings" w:hint="default"/>
      </w:rPr>
    </w:lvl>
    <w:lvl w:ilvl="5" w:tplc="C0C24E28" w:tentative="1">
      <w:start w:val="1"/>
      <w:numFmt w:val="bullet"/>
      <w:lvlText w:val=""/>
      <w:lvlJc w:val="left"/>
      <w:pPr>
        <w:tabs>
          <w:tab w:val="num" w:pos="4320"/>
        </w:tabs>
        <w:ind w:left="4320" w:hanging="360"/>
      </w:pPr>
      <w:rPr>
        <w:rFonts w:ascii="Wingdings" w:hAnsi="Wingdings" w:hint="default"/>
      </w:rPr>
    </w:lvl>
    <w:lvl w:ilvl="6" w:tplc="D99A91E4" w:tentative="1">
      <w:start w:val="1"/>
      <w:numFmt w:val="bullet"/>
      <w:lvlText w:val=""/>
      <w:lvlJc w:val="left"/>
      <w:pPr>
        <w:tabs>
          <w:tab w:val="num" w:pos="5040"/>
        </w:tabs>
        <w:ind w:left="5040" w:hanging="360"/>
      </w:pPr>
      <w:rPr>
        <w:rFonts w:ascii="Wingdings" w:hAnsi="Wingdings" w:hint="default"/>
      </w:rPr>
    </w:lvl>
    <w:lvl w:ilvl="7" w:tplc="679648E2" w:tentative="1">
      <w:start w:val="1"/>
      <w:numFmt w:val="bullet"/>
      <w:lvlText w:val=""/>
      <w:lvlJc w:val="left"/>
      <w:pPr>
        <w:tabs>
          <w:tab w:val="num" w:pos="5760"/>
        </w:tabs>
        <w:ind w:left="5760" w:hanging="360"/>
      </w:pPr>
      <w:rPr>
        <w:rFonts w:ascii="Wingdings" w:hAnsi="Wingdings" w:hint="default"/>
      </w:rPr>
    </w:lvl>
    <w:lvl w:ilvl="8" w:tplc="8E6C38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0B7596"/>
    <w:multiLevelType w:val="hybridMultilevel"/>
    <w:tmpl w:val="BCE666EA"/>
    <w:lvl w:ilvl="0" w:tplc="91366B34">
      <w:start w:val="1"/>
      <w:numFmt w:val="bullet"/>
      <w:lvlText w:val=""/>
      <w:lvlJc w:val="left"/>
      <w:pPr>
        <w:tabs>
          <w:tab w:val="num" w:pos="720"/>
        </w:tabs>
        <w:ind w:left="720" w:hanging="360"/>
      </w:pPr>
      <w:rPr>
        <w:rFonts w:ascii="Wingdings" w:hAnsi="Wingdings" w:hint="default"/>
      </w:rPr>
    </w:lvl>
    <w:lvl w:ilvl="1" w:tplc="2328FC9C" w:tentative="1">
      <w:start w:val="1"/>
      <w:numFmt w:val="bullet"/>
      <w:lvlText w:val=""/>
      <w:lvlJc w:val="left"/>
      <w:pPr>
        <w:tabs>
          <w:tab w:val="num" w:pos="1440"/>
        </w:tabs>
        <w:ind w:left="1440" w:hanging="360"/>
      </w:pPr>
      <w:rPr>
        <w:rFonts w:ascii="Wingdings" w:hAnsi="Wingdings" w:hint="default"/>
      </w:rPr>
    </w:lvl>
    <w:lvl w:ilvl="2" w:tplc="93DCF376" w:tentative="1">
      <w:start w:val="1"/>
      <w:numFmt w:val="bullet"/>
      <w:lvlText w:val=""/>
      <w:lvlJc w:val="left"/>
      <w:pPr>
        <w:tabs>
          <w:tab w:val="num" w:pos="2160"/>
        </w:tabs>
        <w:ind w:left="2160" w:hanging="360"/>
      </w:pPr>
      <w:rPr>
        <w:rFonts w:ascii="Wingdings" w:hAnsi="Wingdings" w:hint="default"/>
      </w:rPr>
    </w:lvl>
    <w:lvl w:ilvl="3" w:tplc="7EE82CFC" w:tentative="1">
      <w:start w:val="1"/>
      <w:numFmt w:val="bullet"/>
      <w:lvlText w:val=""/>
      <w:lvlJc w:val="left"/>
      <w:pPr>
        <w:tabs>
          <w:tab w:val="num" w:pos="2880"/>
        </w:tabs>
        <w:ind w:left="2880" w:hanging="360"/>
      </w:pPr>
      <w:rPr>
        <w:rFonts w:ascii="Wingdings" w:hAnsi="Wingdings" w:hint="default"/>
      </w:rPr>
    </w:lvl>
    <w:lvl w:ilvl="4" w:tplc="4C443118" w:tentative="1">
      <w:start w:val="1"/>
      <w:numFmt w:val="bullet"/>
      <w:lvlText w:val=""/>
      <w:lvlJc w:val="left"/>
      <w:pPr>
        <w:tabs>
          <w:tab w:val="num" w:pos="3600"/>
        </w:tabs>
        <w:ind w:left="3600" w:hanging="360"/>
      </w:pPr>
      <w:rPr>
        <w:rFonts w:ascii="Wingdings" w:hAnsi="Wingdings" w:hint="default"/>
      </w:rPr>
    </w:lvl>
    <w:lvl w:ilvl="5" w:tplc="EF2A9E70" w:tentative="1">
      <w:start w:val="1"/>
      <w:numFmt w:val="bullet"/>
      <w:lvlText w:val=""/>
      <w:lvlJc w:val="left"/>
      <w:pPr>
        <w:tabs>
          <w:tab w:val="num" w:pos="4320"/>
        </w:tabs>
        <w:ind w:left="4320" w:hanging="360"/>
      </w:pPr>
      <w:rPr>
        <w:rFonts w:ascii="Wingdings" w:hAnsi="Wingdings" w:hint="default"/>
      </w:rPr>
    </w:lvl>
    <w:lvl w:ilvl="6" w:tplc="D070192C" w:tentative="1">
      <w:start w:val="1"/>
      <w:numFmt w:val="bullet"/>
      <w:lvlText w:val=""/>
      <w:lvlJc w:val="left"/>
      <w:pPr>
        <w:tabs>
          <w:tab w:val="num" w:pos="5040"/>
        </w:tabs>
        <w:ind w:left="5040" w:hanging="360"/>
      </w:pPr>
      <w:rPr>
        <w:rFonts w:ascii="Wingdings" w:hAnsi="Wingdings" w:hint="default"/>
      </w:rPr>
    </w:lvl>
    <w:lvl w:ilvl="7" w:tplc="3098B55E" w:tentative="1">
      <w:start w:val="1"/>
      <w:numFmt w:val="bullet"/>
      <w:lvlText w:val=""/>
      <w:lvlJc w:val="left"/>
      <w:pPr>
        <w:tabs>
          <w:tab w:val="num" w:pos="5760"/>
        </w:tabs>
        <w:ind w:left="5760" w:hanging="360"/>
      </w:pPr>
      <w:rPr>
        <w:rFonts w:ascii="Wingdings" w:hAnsi="Wingdings" w:hint="default"/>
      </w:rPr>
    </w:lvl>
    <w:lvl w:ilvl="8" w:tplc="64E645B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4A0554"/>
    <w:multiLevelType w:val="hybridMultilevel"/>
    <w:tmpl w:val="25D2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6"/>
  </w:num>
  <w:num w:numId="4">
    <w:abstractNumId w:val="19"/>
  </w:num>
  <w:num w:numId="5">
    <w:abstractNumId w:val="2"/>
  </w:num>
  <w:num w:numId="6">
    <w:abstractNumId w:val="7"/>
  </w:num>
  <w:num w:numId="7">
    <w:abstractNumId w:val="16"/>
  </w:num>
  <w:num w:numId="8">
    <w:abstractNumId w:val="8"/>
  </w:num>
  <w:num w:numId="9">
    <w:abstractNumId w:val="25"/>
  </w:num>
  <w:num w:numId="10">
    <w:abstractNumId w:val="1"/>
  </w:num>
  <w:num w:numId="11">
    <w:abstractNumId w:val="20"/>
  </w:num>
  <w:num w:numId="12">
    <w:abstractNumId w:val="12"/>
  </w:num>
  <w:num w:numId="13">
    <w:abstractNumId w:val="9"/>
  </w:num>
  <w:num w:numId="14">
    <w:abstractNumId w:val="0"/>
  </w:num>
  <w:num w:numId="15">
    <w:abstractNumId w:val="21"/>
  </w:num>
  <w:num w:numId="16">
    <w:abstractNumId w:val="24"/>
  </w:num>
  <w:num w:numId="17">
    <w:abstractNumId w:val="11"/>
  </w:num>
  <w:num w:numId="18">
    <w:abstractNumId w:val="10"/>
  </w:num>
  <w:num w:numId="19">
    <w:abstractNumId w:val="14"/>
  </w:num>
  <w:num w:numId="20">
    <w:abstractNumId w:val="3"/>
  </w:num>
  <w:num w:numId="21">
    <w:abstractNumId w:val="22"/>
  </w:num>
  <w:num w:numId="22">
    <w:abstractNumId w:val="23"/>
  </w:num>
  <w:num w:numId="23">
    <w:abstractNumId w:val="18"/>
  </w:num>
  <w:num w:numId="24">
    <w:abstractNumId w:val="17"/>
  </w:num>
  <w:num w:numId="25">
    <w:abstractNumId w:val="27"/>
  </w:num>
  <w:num w:numId="26">
    <w:abstractNumId w:val="5"/>
  </w:num>
  <w:num w:numId="27">
    <w:abstractNumId w:val="4"/>
  </w:num>
  <w:num w:numId="28">
    <w:abstractNumId w:val="4"/>
    <w:lvlOverride w:ilvl="0">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37"/>
    <w:rsid w:val="00004FE1"/>
    <w:rsid w:val="00011B4B"/>
    <w:rsid w:val="0001221F"/>
    <w:rsid w:val="00012699"/>
    <w:rsid w:val="00061CF7"/>
    <w:rsid w:val="00062A82"/>
    <w:rsid w:val="00067282"/>
    <w:rsid w:val="00074893"/>
    <w:rsid w:val="000779B9"/>
    <w:rsid w:val="00095CBB"/>
    <w:rsid w:val="000A2A94"/>
    <w:rsid w:val="000A6AA5"/>
    <w:rsid w:val="000C2EAB"/>
    <w:rsid w:val="000D216A"/>
    <w:rsid w:val="000F1A4D"/>
    <w:rsid w:val="00100212"/>
    <w:rsid w:val="0010242C"/>
    <w:rsid w:val="00111A26"/>
    <w:rsid w:val="00125133"/>
    <w:rsid w:val="001515A8"/>
    <w:rsid w:val="00151B0B"/>
    <w:rsid w:val="00152202"/>
    <w:rsid w:val="00155BBE"/>
    <w:rsid w:val="0019236B"/>
    <w:rsid w:val="00195BF5"/>
    <w:rsid w:val="001A5888"/>
    <w:rsid w:val="001B02E7"/>
    <w:rsid w:val="001C20AE"/>
    <w:rsid w:val="001D0DED"/>
    <w:rsid w:val="001D19BE"/>
    <w:rsid w:val="001D2FEC"/>
    <w:rsid w:val="001D42B9"/>
    <w:rsid w:val="001D454F"/>
    <w:rsid w:val="001D5F8F"/>
    <w:rsid w:val="001E3DA3"/>
    <w:rsid w:val="001E69BF"/>
    <w:rsid w:val="001F3423"/>
    <w:rsid w:val="002009BF"/>
    <w:rsid w:val="00205475"/>
    <w:rsid w:val="00217448"/>
    <w:rsid w:val="0022166D"/>
    <w:rsid w:val="002317D1"/>
    <w:rsid w:val="00232C57"/>
    <w:rsid w:val="00235ABB"/>
    <w:rsid w:val="00242062"/>
    <w:rsid w:val="00295C25"/>
    <w:rsid w:val="002A5488"/>
    <w:rsid w:val="002E1A67"/>
    <w:rsid w:val="002E2AB4"/>
    <w:rsid w:val="002E5C55"/>
    <w:rsid w:val="002E7CCE"/>
    <w:rsid w:val="002F6432"/>
    <w:rsid w:val="0030111D"/>
    <w:rsid w:val="003057C1"/>
    <w:rsid w:val="00316F6F"/>
    <w:rsid w:val="003322CD"/>
    <w:rsid w:val="00335567"/>
    <w:rsid w:val="00345F83"/>
    <w:rsid w:val="0035404F"/>
    <w:rsid w:val="0036093A"/>
    <w:rsid w:val="003635EA"/>
    <w:rsid w:val="003904E8"/>
    <w:rsid w:val="00393C36"/>
    <w:rsid w:val="00394EAC"/>
    <w:rsid w:val="00395D61"/>
    <w:rsid w:val="003D2960"/>
    <w:rsid w:val="003D5851"/>
    <w:rsid w:val="003E3361"/>
    <w:rsid w:val="003E6ACB"/>
    <w:rsid w:val="003F6EAD"/>
    <w:rsid w:val="004005E5"/>
    <w:rsid w:val="004147AB"/>
    <w:rsid w:val="00427684"/>
    <w:rsid w:val="00437015"/>
    <w:rsid w:val="004401C7"/>
    <w:rsid w:val="00440271"/>
    <w:rsid w:val="0044730A"/>
    <w:rsid w:val="00452811"/>
    <w:rsid w:val="00453567"/>
    <w:rsid w:val="004650C6"/>
    <w:rsid w:val="004673E9"/>
    <w:rsid w:val="004822EA"/>
    <w:rsid w:val="00484FC0"/>
    <w:rsid w:val="004A062F"/>
    <w:rsid w:val="004A1D54"/>
    <w:rsid w:val="004A22CF"/>
    <w:rsid w:val="004A4B8D"/>
    <w:rsid w:val="004A62A7"/>
    <w:rsid w:val="004B28DF"/>
    <w:rsid w:val="004B2AB1"/>
    <w:rsid w:val="004C489A"/>
    <w:rsid w:val="004C771A"/>
    <w:rsid w:val="004D124E"/>
    <w:rsid w:val="004E15CE"/>
    <w:rsid w:val="004E4361"/>
    <w:rsid w:val="00507A97"/>
    <w:rsid w:val="00507BE1"/>
    <w:rsid w:val="0051219D"/>
    <w:rsid w:val="00522ECB"/>
    <w:rsid w:val="00523766"/>
    <w:rsid w:val="00530F6B"/>
    <w:rsid w:val="00535D97"/>
    <w:rsid w:val="00554F89"/>
    <w:rsid w:val="00556FF3"/>
    <w:rsid w:val="00560CA7"/>
    <w:rsid w:val="0056429F"/>
    <w:rsid w:val="00575536"/>
    <w:rsid w:val="005835D7"/>
    <w:rsid w:val="0058461D"/>
    <w:rsid w:val="0058707E"/>
    <w:rsid w:val="005A07F4"/>
    <w:rsid w:val="005A243D"/>
    <w:rsid w:val="005A7E37"/>
    <w:rsid w:val="005B616B"/>
    <w:rsid w:val="005B6468"/>
    <w:rsid w:val="005C4B05"/>
    <w:rsid w:val="005C6404"/>
    <w:rsid w:val="005E1CC5"/>
    <w:rsid w:val="005F49E2"/>
    <w:rsid w:val="00606312"/>
    <w:rsid w:val="00610A72"/>
    <w:rsid w:val="006112CE"/>
    <w:rsid w:val="00617F3C"/>
    <w:rsid w:val="00622221"/>
    <w:rsid w:val="006247B4"/>
    <w:rsid w:val="00625720"/>
    <w:rsid w:val="00637FA6"/>
    <w:rsid w:val="00640272"/>
    <w:rsid w:val="00641B70"/>
    <w:rsid w:val="0064339A"/>
    <w:rsid w:val="00652990"/>
    <w:rsid w:val="00655A32"/>
    <w:rsid w:val="00665077"/>
    <w:rsid w:val="00681AB2"/>
    <w:rsid w:val="00690337"/>
    <w:rsid w:val="00694EE6"/>
    <w:rsid w:val="006A18AB"/>
    <w:rsid w:val="006A6347"/>
    <w:rsid w:val="006E2102"/>
    <w:rsid w:val="006F114B"/>
    <w:rsid w:val="00711DE6"/>
    <w:rsid w:val="00713D8E"/>
    <w:rsid w:val="00713F1A"/>
    <w:rsid w:val="00714208"/>
    <w:rsid w:val="00737F68"/>
    <w:rsid w:val="007402ED"/>
    <w:rsid w:val="0074172A"/>
    <w:rsid w:val="007553E7"/>
    <w:rsid w:val="007711F2"/>
    <w:rsid w:val="00772684"/>
    <w:rsid w:val="0077573D"/>
    <w:rsid w:val="00780427"/>
    <w:rsid w:val="00782C47"/>
    <w:rsid w:val="00795C37"/>
    <w:rsid w:val="00795D83"/>
    <w:rsid w:val="00797CC6"/>
    <w:rsid w:val="007B2744"/>
    <w:rsid w:val="007B326A"/>
    <w:rsid w:val="007C2261"/>
    <w:rsid w:val="007C469E"/>
    <w:rsid w:val="007C78E6"/>
    <w:rsid w:val="007F10C4"/>
    <w:rsid w:val="00815D6B"/>
    <w:rsid w:val="008366D9"/>
    <w:rsid w:val="00843FE0"/>
    <w:rsid w:val="00847B0D"/>
    <w:rsid w:val="008500A6"/>
    <w:rsid w:val="00851CA3"/>
    <w:rsid w:val="0086140F"/>
    <w:rsid w:val="0087035D"/>
    <w:rsid w:val="00874D87"/>
    <w:rsid w:val="008A2B46"/>
    <w:rsid w:val="008A72B7"/>
    <w:rsid w:val="008C2933"/>
    <w:rsid w:val="008C38FE"/>
    <w:rsid w:val="008D6F85"/>
    <w:rsid w:val="008D7274"/>
    <w:rsid w:val="008E1FA7"/>
    <w:rsid w:val="00900C34"/>
    <w:rsid w:val="0091072C"/>
    <w:rsid w:val="00911F20"/>
    <w:rsid w:val="0095331F"/>
    <w:rsid w:val="009619F3"/>
    <w:rsid w:val="009621F8"/>
    <w:rsid w:val="009623BC"/>
    <w:rsid w:val="00966D1E"/>
    <w:rsid w:val="00972A1B"/>
    <w:rsid w:val="0098565C"/>
    <w:rsid w:val="0098572A"/>
    <w:rsid w:val="00987B3A"/>
    <w:rsid w:val="009970C5"/>
    <w:rsid w:val="009B0559"/>
    <w:rsid w:val="009D5B17"/>
    <w:rsid w:val="00A01063"/>
    <w:rsid w:val="00A06EEA"/>
    <w:rsid w:val="00A100E3"/>
    <w:rsid w:val="00A15AC9"/>
    <w:rsid w:val="00A16AF3"/>
    <w:rsid w:val="00A22B50"/>
    <w:rsid w:val="00A270E8"/>
    <w:rsid w:val="00A270EF"/>
    <w:rsid w:val="00A27F56"/>
    <w:rsid w:val="00A44B7D"/>
    <w:rsid w:val="00A46B3D"/>
    <w:rsid w:val="00A46D83"/>
    <w:rsid w:val="00A5285F"/>
    <w:rsid w:val="00A6271C"/>
    <w:rsid w:val="00A75A3B"/>
    <w:rsid w:val="00A770F2"/>
    <w:rsid w:val="00A77713"/>
    <w:rsid w:val="00AA2528"/>
    <w:rsid w:val="00AA74B9"/>
    <w:rsid w:val="00AB1576"/>
    <w:rsid w:val="00AB1C57"/>
    <w:rsid w:val="00AC7D23"/>
    <w:rsid w:val="00AF3F9F"/>
    <w:rsid w:val="00B1102A"/>
    <w:rsid w:val="00B12466"/>
    <w:rsid w:val="00B13391"/>
    <w:rsid w:val="00B26EF5"/>
    <w:rsid w:val="00B279D5"/>
    <w:rsid w:val="00B27C7A"/>
    <w:rsid w:val="00B27F72"/>
    <w:rsid w:val="00B408A1"/>
    <w:rsid w:val="00B6263A"/>
    <w:rsid w:val="00B66A0D"/>
    <w:rsid w:val="00B66BB6"/>
    <w:rsid w:val="00B75853"/>
    <w:rsid w:val="00B90D25"/>
    <w:rsid w:val="00B921E9"/>
    <w:rsid w:val="00BB1674"/>
    <w:rsid w:val="00BB3F88"/>
    <w:rsid w:val="00BB41BE"/>
    <w:rsid w:val="00BB4673"/>
    <w:rsid w:val="00BC5DC4"/>
    <w:rsid w:val="00BD3A4B"/>
    <w:rsid w:val="00BD59A7"/>
    <w:rsid w:val="00BD7189"/>
    <w:rsid w:val="00BF3899"/>
    <w:rsid w:val="00C00A71"/>
    <w:rsid w:val="00C120DC"/>
    <w:rsid w:val="00C25FE5"/>
    <w:rsid w:val="00C43014"/>
    <w:rsid w:val="00C5119A"/>
    <w:rsid w:val="00C52B0F"/>
    <w:rsid w:val="00C57919"/>
    <w:rsid w:val="00C61B2E"/>
    <w:rsid w:val="00C65CCE"/>
    <w:rsid w:val="00C715EC"/>
    <w:rsid w:val="00C718C6"/>
    <w:rsid w:val="00C771E2"/>
    <w:rsid w:val="00C97A96"/>
    <w:rsid w:val="00CA0C70"/>
    <w:rsid w:val="00CA1986"/>
    <w:rsid w:val="00CA33D8"/>
    <w:rsid w:val="00CA7D1F"/>
    <w:rsid w:val="00CB0D0A"/>
    <w:rsid w:val="00CB50F9"/>
    <w:rsid w:val="00CD6AF1"/>
    <w:rsid w:val="00CE0525"/>
    <w:rsid w:val="00CF3A62"/>
    <w:rsid w:val="00CF4E09"/>
    <w:rsid w:val="00CF74D5"/>
    <w:rsid w:val="00D1244F"/>
    <w:rsid w:val="00D22C96"/>
    <w:rsid w:val="00D23192"/>
    <w:rsid w:val="00D6604F"/>
    <w:rsid w:val="00D75D39"/>
    <w:rsid w:val="00D815B3"/>
    <w:rsid w:val="00D84DBF"/>
    <w:rsid w:val="00D85F11"/>
    <w:rsid w:val="00D860FB"/>
    <w:rsid w:val="00D95803"/>
    <w:rsid w:val="00DA3001"/>
    <w:rsid w:val="00DB10E8"/>
    <w:rsid w:val="00DB5FA7"/>
    <w:rsid w:val="00DC2627"/>
    <w:rsid w:val="00DC32CC"/>
    <w:rsid w:val="00DD072D"/>
    <w:rsid w:val="00DE7410"/>
    <w:rsid w:val="00DF2C98"/>
    <w:rsid w:val="00DF4CF0"/>
    <w:rsid w:val="00E00933"/>
    <w:rsid w:val="00E02035"/>
    <w:rsid w:val="00E02DE8"/>
    <w:rsid w:val="00E067EC"/>
    <w:rsid w:val="00E07D2D"/>
    <w:rsid w:val="00E113CD"/>
    <w:rsid w:val="00E137E1"/>
    <w:rsid w:val="00E1622B"/>
    <w:rsid w:val="00E23FD1"/>
    <w:rsid w:val="00E4027E"/>
    <w:rsid w:val="00E42FB3"/>
    <w:rsid w:val="00E5561A"/>
    <w:rsid w:val="00E55E1D"/>
    <w:rsid w:val="00E578FC"/>
    <w:rsid w:val="00E71E0C"/>
    <w:rsid w:val="00E8013C"/>
    <w:rsid w:val="00E971F9"/>
    <w:rsid w:val="00EA1423"/>
    <w:rsid w:val="00EB7951"/>
    <w:rsid w:val="00ED53AD"/>
    <w:rsid w:val="00ED53D6"/>
    <w:rsid w:val="00EE7933"/>
    <w:rsid w:val="00F075FE"/>
    <w:rsid w:val="00F15016"/>
    <w:rsid w:val="00F20320"/>
    <w:rsid w:val="00F222ED"/>
    <w:rsid w:val="00F339E7"/>
    <w:rsid w:val="00F34D63"/>
    <w:rsid w:val="00F4426A"/>
    <w:rsid w:val="00F75D66"/>
    <w:rsid w:val="00F838C6"/>
    <w:rsid w:val="00FA3D99"/>
    <w:rsid w:val="00FB0F66"/>
    <w:rsid w:val="00FD011A"/>
    <w:rsid w:val="00FD0A10"/>
    <w:rsid w:val="00FD11AE"/>
    <w:rsid w:val="00FD55B5"/>
    <w:rsid w:val="00FD5EA7"/>
    <w:rsid w:val="00FF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665F6"/>
  <w15:docId w15:val="{40388EAC-B2E1-4107-811A-9DB683F3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2EA"/>
    <w:pPr>
      <w:keepNext/>
      <w:keepLines/>
      <w:spacing w:before="240" w:after="0" w:line="240" w:lineRule="auto"/>
      <w:outlineLvl w:val="0"/>
    </w:pPr>
    <w:rPr>
      <w:rFonts w:ascii="Open Sans" w:eastAsiaTheme="majorEastAsia" w:hAnsi="Open Sans" w:cs="Open Sans"/>
      <w:color w:val="2E74B5" w:themeColor="accent1" w:themeShade="BF"/>
      <w:sz w:val="32"/>
      <w:szCs w:val="32"/>
    </w:rPr>
  </w:style>
  <w:style w:type="paragraph" w:styleId="Heading2">
    <w:name w:val="heading 2"/>
    <w:aliases w:val="B Head"/>
    <w:basedOn w:val="Normal"/>
    <w:next w:val="Normal"/>
    <w:link w:val="Heading2Char"/>
    <w:unhideWhenUsed/>
    <w:qFormat/>
    <w:rsid w:val="00843FE0"/>
    <w:pPr>
      <w:keepNext/>
      <w:keepLines/>
      <w:spacing w:before="40" w:after="0" w:line="240" w:lineRule="auto"/>
      <w:outlineLvl w:val="1"/>
    </w:pPr>
    <w:rPr>
      <w:rFonts w:asciiTheme="majorHAnsi" w:eastAsiaTheme="majorEastAsia" w:hAnsiTheme="majorHAnsi" w:cstheme="majorHAns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4DBF"/>
    <w:pPr>
      <w:ind w:left="720"/>
      <w:contextualSpacing/>
    </w:pPr>
  </w:style>
  <w:style w:type="paragraph" w:styleId="NormalWeb">
    <w:name w:val="Normal (Web)"/>
    <w:basedOn w:val="Normal"/>
    <w:uiPriority w:val="99"/>
    <w:unhideWhenUsed/>
    <w:rsid w:val="00BB16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1C57"/>
    <w:rPr>
      <w:color w:val="0563C1" w:themeColor="hyperlink"/>
      <w:u w:val="single"/>
    </w:rPr>
  </w:style>
  <w:style w:type="character" w:customStyle="1" w:styleId="ListParagraphChar">
    <w:name w:val="List Paragraph Char"/>
    <w:link w:val="ListParagraph"/>
    <w:uiPriority w:val="34"/>
    <w:rsid w:val="00100212"/>
  </w:style>
  <w:style w:type="table" w:styleId="TableGrid">
    <w:name w:val="Table Grid"/>
    <w:basedOn w:val="TableNormal"/>
    <w:uiPriority w:val="39"/>
    <w:rsid w:val="003D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0E3"/>
  </w:style>
  <w:style w:type="paragraph" w:styleId="Footer">
    <w:name w:val="footer"/>
    <w:basedOn w:val="Normal"/>
    <w:link w:val="FooterChar"/>
    <w:uiPriority w:val="99"/>
    <w:unhideWhenUsed/>
    <w:rsid w:val="00A10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0E3"/>
  </w:style>
  <w:style w:type="table" w:customStyle="1" w:styleId="GridTable4-Accent51">
    <w:name w:val="Grid Table 4 - Accent 51"/>
    <w:basedOn w:val="TableNormal"/>
    <w:uiPriority w:val="49"/>
    <w:rsid w:val="009623B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BD5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9A7"/>
    <w:rPr>
      <w:rFonts w:ascii="Segoe UI" w:hAnsi="Segoe UI" w:cs="Segoe UI"/>
      <w:sz w:val="18"/>
      <w:szCs w:val="18"/>
    </w:rPr>
  </w:style>
  <w:style w:type="character" w:customStyle="1" w:styleId="UnresolvedMention1">
    <w:name w:val="Unresolved Mention1"/>
    <w:basedOn w:val="DefaultParagraphFont"/>
    <w:uiPriority w:val="99"/>
    <w:semiHidden/>
    <w:unhideWhenUsed/>
    <w:rsid w:val="00711DE6"/>
    <w:rPr>
      <w:color w:val="808080"/>
      <w:shd w:val="clear" w:color="auto" w:fill="E6E6E6"/>
    </w:rPr>
  </w:style>
  <w:style w:type="character" w:customStyle="1" w:styleId="Heading1Char">
    <w:name w:val="Heading 1 Char"/>
    <w:basedOn w:val="DefaultParagraphFont"/>
    <w:link w:val="Heading1"/>
    <w:uiPriority w:val="9"/>
    <w:rsid w:val="004822EA"/>
    <w:rPr>
      <w:rFonts w:ascii="Open Sans" w:eastAsiaTheme="majorEastAsia" w:hAnsi="Open Sans" w:cs="Open Sans"/>
      <w:color w:val="2E74B5" w:themeColor="accent1" w:themeShade="BF"/>
      <w:sz w:val="32"/>
      <w:szCs w:val="32"/>
    </w:rPr>
  </w:style>
  <w:style w:type="character" w:customStyle="1" w:styleId="Heading2Char">
    <w:name w:val="Heading 2 Char"/>
    <w:aliases w:val="B Head Char"/>
    <w:basedOn w:val="DefaultParagraphFont"/>
    <w:link w:val="Heading2"/>
    <w:uiPriority w:val="9"/>
    <w:rsid w:val="00843FE0"/>
    <w:rPr>
      <w:rFonts w:asciiTheme="majorHAnsi" w:eastAsiaTheme="majorEastAsia" w:hAnsiTheme="majorHAnsi" w:cstheme="majorHAnsi"/>
      <w:color w:val="2E74B5" w:themeColor="accent1" w:themeShade="BF"/>
      <w:sz w:val="26"/>
      <w:szCs w:val="26"/>
    </w:rPr>
  </w:style>
  <w:style w:type="paragraph" w:customStyle="1" w:styleId="Header1">
    <w:name w:val="Header 1"/>
    <w:basedOn w:val="Normal"/>
    <w:link w:val="Header1Char"/>
    <w:qFormat/>
    <w:rsid w:val="004822EA"/>
    <w:pPr>
      <w:spacing w:after="0" w:line="240" w:lineRule="auto"/>
      <w:outlineLvl w:val="0"/>
    </w:pPr>
    <w:rPr>
      <w:rFonts w:ascii="Open Sans" w:hAnsi="Open Sans" w:cs="Open Sans"/>
      <w:b/>
      <w:sz w:val="32"/>
      <w:szCs w:val="24"/>
    </w:rPr>
  </w:style>
  <w:style w:type="paragraph" w:customStyle="1" w:styleId="Header2">
    <w:name w:val="Header 2"/>
    <w:basedOn w:val="Heading2"/>
    <w:next w:val="Normal"/>
    <w:link w:val="Header2Char"/>
    <w:qFormat/>
    <w:rsid w:val="004822EA"/>
    <w:pPr>
      <w:ind w:left="720"/>
      <w:outlineLvl w:val="0"/>
    </w:pPr>
    <w:rPr>
      <w:b/>
      <w:color w:val="002060"/>
    </w:rPr>
  </w:style>
  <w:style w:type="character" w:customStyle="1" w:styleId="Header1Char">
    <w:name w:val="Header 1 Char"/>
    <w:basedOn w:val="DefaultParagraphFont"/>
    <w:link w:val="Header1"/>
    <w:rsid w:val="004822EA"/>
    <w:rPr>
      <w:rFonts w:ascii="Open Sans" w:hAnsi="Open Sans" w:cs="Open Sans"/>
      <w:b/>
      <w:sz w:val="32"/>
      <w:szCs w:val="24"/>
    </w:rPr>
  </w:style>
  <w:style w:type="character" w:customStyle="1" w:styleId="Header2Char">
    <w:name w:val="Header 2 Char"/>
    <w:basedOn w:val="DefaultParagraphFont"/>
    <w:link w:val="Header2"/>
    <w:rsid w:val="004822EA"/>
    <w:rPr>
      <w:rFonts w:ascii="Open Sans" w:eastAsiaTheme="majorEastAsia" w:hAnsi="Open Sans" w:cs="Open Sans"/>
      <w:b/>
      <w:color w:val="002060"/>
      <w:sz w:val="26"/>
      <w:szCs w:val="26"/>
    </w:rPr>
  </w:style>
  <w:style w:type="character" w:styleId="Strong">
    <w:name w:val="Strong"/>
    <w:basedOn w:val="DefaultParagraphFont"/>
    <w:uiPriority w:val="22"/>
    <w:qFormat/>
    <w:rsid w:val="004822EA"/>
    <w:rPr>
      <w:b/>
      <w:bCs/>
    </w:rPr>
  </w:style>
  <w:style w:type="character" w:styleId="Emphasis">
    <w:name w:val="Emphasis"/>
    <w:basedOn w:val="DefaultParagraphFont"/>
    <w:uiPriority w:val="20"/>
    <w:qFormat/>
    <w:rsid w:val="004822EA"/>
    <w:rPr>
      <w:i/>
      <w:iCs/>
    </w:rPr>
  </w:style>
  <w:style w:type="paragraph" w:styleId="Caption">
    <w:name w:val="caption"/>
    <w:basedOn w:val="Normal"/>
    <w:next w:val="Normal"/>
    <w:uiPriority w:val="35"/>
    <w:unhideWhenUsed/>
    <w:qFormat/>
    <w:rsid w:val="004822EA"/>
    <w:pPr>
      <w:spacing w:after="200" w:line="240" w:lineRule="auto"/>
    </w:pPr>
    <w:rPr>
      <w:rFonts w:ascii="Open Sans" w:hAnsi="Open Sans" w:cs="Open Sans"/>
      <w:i/>
      <w:iCs/>
      <w:color w:val="44546A" w:themeColor="text2"/>
      <w:sz w:val="18"/>
      <w:szCs w:val="18"/>
    </w:rPr>
  </w:style>
  <w:style w:type="paragraph" w:styleId="PlainText">
    <w:name w:val="Plain Text"/>
    <w:basedOn w:val="Normal"/>
    <w:link w:val="PlainTextChar"/>
    <w:uiPriority w:val="99"/>
    <w:unhideWhenUsed/>
    <w:rsid w:val="00FD011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D011A"/>
    <w:rPr>
      <w:rFonts w:ascii="Calibri" w:hAnsi="Calibri"/>
      <w:szCs w:val="21"/>
    </w:rPr>
  </w:style>
  <w:style w:type="character" w:styleId="UnresolvedMention">
    <w:name w:val="Unresolved Mention"/>
    <w:basedOn w:val="DefaultParagraphFont"/>
    <w:uiPriority w:val="99"/>
    <w:semiHidden/>
    <w:unhideWhenUsed/>
    <w:rsid w:val="00FD011A"/>
    <w:rPr>
      <w:color w:val="605E5C"/>
      <w:shd w:val="clear" w:color="auto" w:fill="E1DFDD"/>
    </w:rPr>
  </w:style>
  <w:style w:type="character" w:customStyle="1" w:styleId="tgc">
    <w:name w:val="_tgc"/>
    <w:basedOn w:val="DefaultParagraphFont"/>
    <w:rsid w:val="00ED53D6"/>
  </w:style>
  <w:style w:type="table" w:customStyle="1" w:styleId="GridTable4-Accent11">
    <w:name w:val="Grid Table 4 - Accent 11"/>
    <w:basedOn w:val="TableNormal"/>
    <w:uiPriority w:val="49"/>
    <w:rsid w:val="00ED53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tyleHeading2h2After12pt">
    <w:name w:val="Style Heading 2h2 + After:  12 pt"/>
    <w:basedOn w:val="Heading2"/>
    <w:uiPriority w:val="99"/>
    <w:rsid w:val="00CA7D1F"/>
    <w:pPr>
      <w:keepNext w:val="0"/>
      <w:keepLines w:val="0"/>
      <w:tabs>
        <w:tab w:val="num" w:pos="1440"/>
      </w:tabs>
      <w:spacing w:before="0" w:after="240" w:line="520" w:lineRule="exact"/>
      <w:ind w:left="792" w:firstLine="1008"/>
    </w:pPr>
    <w:rPr>
      <w:rFonts w:ascii="Times New Roman" w:eastAsia="Times New Roman" w:hAnsi="Times New Roman" w:cstheme="minorHAnsi"/>
      <w:b/>
      <w:noProof/>
      <w:color w:val="000000"/>
      <w:kern w:val="2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798">
      <w:bodyDiv w:val="1"/>
      <w:marLeft w:val="0"/>
      <w:marRight w:val="0"/>
      <w:marTop w:val="0"/>
      <w:marBottom w:val="0"/>
      <w:divBdr>
        <w:top w:val="none" w:sz="0" w:space="0" w:color="auto"/>
        <w:left w:val="none" w:sz="0" w:space="0" w:color="auto"/>
        <w:bottom w:val="none" w:sz="0" w:space="0" w:color="auto"/>
        <w:right w:val="none" w:sz="0" w:space="0" w:color="auto"/>
      </w:divBdr>
    </w:div>
    <w:div w:id="611790458">
      <w:bodyDiv w:val="1"/>
      <w:marLeft w:val="0"/>
      <w:marRight w:val="0"/>
      <w:marTop w:val="0"/>
      <w:marBottom w:val="0"/>
      <w:divBdr>
        <w:top w:val="none" w:sz="0" w:space="0" w:color="auto"/>
        <w:left w:val="none" w:sz="0" w:space="0" w:color="auto"/>
        <w:bottom w:val="none" w:sz="0" w:space="0" w:color="auto"/>
        <w:right w:val="none" w:sz="0" w:space="0" w:color="auto"/>
      </w:divBdr>
      <w:divsChild>
        <w:div w:id="1737580547">
          <w:marLeft w:val="547"/>
          <w:marRight w:val="0"/>
          <w:marTop w:val="0"/>
          <w:marBottom w:val="0"/>
          <w:divBdr>
            <w:top w:val="none" w:sz="0" w:space="0" w:color="auto"/>
            <w:left w:val="none" w:sz="0" w:space="0" w:color="auto"/>
            <w:bottom w:val="none" w:sz="0" w:space="0" w:color="auto"/>
            <w:right w:val="none" w:sz="0" w:space="0" w:color="auto"/>
          </w:divBdr>
        </w:div>
        <w:div w:id="1074165953">
          <w:marLeft w:val="547"/>
          <w:marRight w:val="0"/>
          <w:marTop w:val="0"/>
          <w:marBottom w:val="0"/>
          <w:divBdr>
            <w:top w:val="none" w:sz="0" w:space="0" w:color="auto"/>
            <w:left w:val="none" w:sz="0" w:space="0" w:color="auto"/>
            <w:bottom w:val="none" w:sz="0" w:space="0" w:color="auto"/>
            <w:right w:val="none" w:sz="0" w:space="0" w:color="auto"/>
          </w:divBdr>
        </w:div>
        <w:div w:id="512379836">
          <w:marLeft w:val="547"/>
          <w:marRight w:val="0"/>
          <w:marTop w:val="0"/>
          <w:marBottom w:val="0"/>
          <w:divBdr>
            <w:top w:val="none" w:sz="0" w:space="0" w:color="auto"/>
            <w:left w:val="none" w:sz="0" w:space="0" w:color="auto"/>
            <w:bottom w:val="none" w:sz="0" w:space="0" w:color="auto"/>
            <w:right w:val="none" w:sz="0" w:space="0" w:color="auto"/>
          </w:divBdr>
        </w:div>
        <w:div w:id="1282763603">
          <w:marLeft w:val="547"/>
          <w:marRight w:val="0"/>
          <w:marTop w:val="0"/>
          <w:marBottom w:val="0"/>
          <w:divBdr>
            <w:top w:val="none" w:sz="0" w:space="0" w:color="auto"/>
            <w:left w:val="none" w:sz="0" w:space="0" w:color="auto"/>
            <w:bottom w:val="none" w:sz="0" w:space="0" w:color="auto"/>
            <w:right w:val="none" w:sz="0" w:space="0" w:color="auto"/>
          </w:divBdr>
        </w:div>
        <w:div w:id="269625100">
          <w:marLeft w:val="547"/>
          <w:marRight w:val="0"/>
          <w:marTop w:val="0"/>
          <w:marBottom w:val="0"/>
          <w:divBdr>
            <w:top w:val="none" w:sz="0" w:space="0" w:color="auto"/>
            <w:left w:val="none" w:sz="0" w:space="0" w:color="auto"/>
            <w:bottom w:val="none" w:sz="0" w:space="0" w:color="auto"/>
            <w:right w:val="none" w:sz="0" w:space="0" w:color="auto"/>
          </w:divBdr>
        </w:div>
        <w:div w:id="1473864271">
          <w:marLeft w:val="547"/>
          <w:marRight w:val="0"/>
          <w:marTop w:val="0"/>
          <w:marBottom w:val="0"/>
          <w:divBdr>
            <w:top w:val="none" w:sz="0" w:space="0" w:color="auto"/>
            <w:left w:val="none" w:sz="0" w:space="0" w:color="auto"/>
            <w:bottom w:val="none" w:sz="0" w:space="0" w:color="auto"/>
            <w:right w:val="none" w:sz="0" w:space="0" w:color="auto"/>
          </w:divBdr>
        </w:div>
        <w:div w:id="273371128">
          <w:marLeft w:val="547"/>
          <w:marRight w:val="0"/>
          <w:marTop w:val="0"/>
          <w:marBottom w:val="0"/>
          <w:divBdr>
            <w:top w:val="none" w:sz="0" w:space="0" w:color="auto"/>
            <w:left w:val="none" w:sz="0" w:space="0" w:color="auto"/>
            <w:bottom w:val="none" w:sz="0" w:space="0" w:color="auto"/>
            <w:right w:val="none" w:sz="0" w:space="0" w:color="auto"/>
          </w:divBdr>
        </w:div>
        <w:div w:id="473645214">
          <w:marLeft w:val="547"/>
          <w:marRight w:val="0"/>
          <w:marTop w:val="0"/>
          <w:marBottom w:val="0"/>
          <w:divBdr>
            <w:top w:val="none" w:sz="0" w:space="0" w:color="auto"/>
            <w:left w:val="none" w:sz="0" w:space="0" w:color="auto"/>
            <w:bottom w:val="none" w:sz="0" w:space="0" w:color="auto"/>
            <w:right w:val="none" w:sz="0" w:space="0" w:color="auto"/>
          </w:divBdr>
        </w:div>
        <w:div w:id="2092120831">
          <w:marLeft w:val="547"/>
          <w:marRight w:val="0"/>
          <w:marTop w:val="0"/>
          <w:marBottom w:val="0"/>
          <w:divBdr>
            <w:top w:val="none" w:sz="0" w:space="0" w:color="auto"/>
            <w:left w:val="none" w:sz="0" w:space="0" w:color="auto"/>
            <w:bottom w:val="none" w:sz="0" w:space="0" w:color="auto"/>
            <w:right w:val="none" w:sz="0" w:space="0" w:color="auto"/>
          </w:divBdr>
        </w:div>
        <w:div w:id="1392575825">
          <w:marLeft w:val="547"/>
          <w:marRight w:val="0"/>
          <w:marTop w:val="0"/>
          <w:marBottom w:val="0"/>
          <w:divBdr>
            <w:top w:val="none" w:sz="0" w:space="0" w:color="auto"/>
            <w:left w:val="none" w:sz="0" w:space="0" w:color="auto"/>
            <w:bottom w:val="none" w:sz="0" w:space="0" w:color="auto"/>
            <w:right w:val="none" w:sz="0" w:space="0" w:color="auto"/>
          </w:divBdr>
        </w:div>
        <w:div w:id="55009485">
          <w:marLeft w:val="547"/>
          <w:marRight w:val="0"/>
          <w:marTop w:val="0"/>
          <w:marBottom w:val="0"/>
          <w:divBdr>
            <w:top w:val="none" w:sz="0" w:space="0" w:color="auto"/>
            <w:left w:val="none" w:sz="0" w:space="0" w:color="auto"/>
            <w:bottom w:val="none" w:sz="0" w:space="0" w:color="auto"/>
            <w:right w:val="none" w:sz="0" w:space="0" w:color="auto"/>
          </w:divBdr>
        </w:div>
        <w:div w:id="1197043376">
          <w:marLeft w:val="547"/>
          <w:marRight w:val="0"/>
          <w:marTop w:val="0"/>
          <w:marBottom w:val="0"/>
          <w:divBdr>
            <w:top w:val="none" w:sz="0" w:space="0" w:color="auto"/>
            <w:left w:val="none" w:sz="0" w:space="0" w:color="auto"/>
            <w:bottom w:val="none" w:sz="0" w:space="0" w:color="auto"/>
            <w:right w:val="none" w:sz="0" w:space="0" w:color="auto"/>
          </w:divBdr>
        </w:div>
        <w:div w:id="47606095">
          <w:marLeft w:val="547"/>
          <w:marRight w:val="0"/>
          <w:marTop w:val="0"/>
          <w:marBottom w:val="0"/>
          <w:divBdr>
            <w:top w:val="none" w:sz="0" w:space="0" w:color="auto"/>
            <w:left w:val="none" w:sz="0" w:space="0" w:color="auto"/>
            <w:bottom w:val="none" w:sz="0" w:space="0" w:color="auto"/>
            <w:right w:val="none" w:sz="0" w:space="0" w:color="auto"/>
          </w:divBdr>
        </w:div>
        <w:div w:id="1824616281">
          <w:marLeft w:val="547"/>
          <w:marRight w:val="0"/>
          <w:marTop w:val="0"/>
          <w:marBottom w:val="0"/>
          <w:divBdr>
            <w:top w:val="none" w:sz="0" w:space="0" w:color="auto"/>
            <w:left w:val="none" w:sz="0" w:space="0" w:color="auto"/>
            <w:bottom w:val="none" w:sz="0" w:space="0" w:color="auto"/>
            <w:right w:val="none" w:sz="0" w:space="0" w:color="auto"/>
          </w:divBdr>
        </w:div>
        <w:div w:id="170800236">
          <w:marLeft w:val="547"/>
          <w:marRight w:val="0"/>
          <w:marTop w:val="0"/>
          <w:marBottom w:val="0"/>
          <w:divBdr>
            <w:top w:val="none" w:sz="0" w:space="0" w:color="auto"/>
            <w:left w:val="none" w:sz="0" w:space="0" w:color="auto"/>
            <w:bottom w:val="none" w:sz="0" w:space="0" w:color="auto"/>
            <w:right w:val="none" w:sz="0" w:space="0" w:color="auto"/>
          </w:divBdr>
        </w:div>
      </w:divsChild>
    </w:div>
    <w:div w:id="743184244">
      <w:bodyDiv w:val="1"/>
      <w:marLeft w:val="0"/>
      <w:marRight w:val="0"/>
      <w:marTop w:val="0"/>
      <w:marBottom w:val="0"/>
      <w:divBdr>
        <w:top w:val="none" w:sz="0" w:space="0" w:color="auto"/>
        <w:left w:val="none" w:sz="0" w:space="0" w:color="auto"/>
        <w:bottom w:val="none" w:sz="0" w:space="0" w:color="auto"/>
        <w:right w:val="none" w:sz="0" w:space="0" w:color="auto"/>
      </w:divBdr>
      <w:divsChild>
        <w:div w:id="1206286438">
          <w:marLeft w:val="547"/>
          <w:marRight w:val="0"/>
          <w:marTop w:val="0"/>
          <w:marBottom w:val="0"/>
          <w:divBdr>
            <w:top w:val="none" w:sz="0" w:space="0" w:color="auto"/>
            <w:left w:val="none" w:sz="0" w:space="0" w:color="auto"/>
            <w:bottom w:val="none" w:sz="0" w:space="0" w:color="auto"/>
            <w:right w:val="none" w:sz="0" w:space="0" w:color="auto"/>
          </w:divBdr>
        </w:div>
        <w:div w:id="1592735901">
          <w:marLeft w:val="547"/>
          <w:marRight w:val="0"/>
          <w:marTop w:val="0"/>
          <w:marBottom w:val="0"/>
          <w:divBdr>
            <w:top w:val="none" w:sz="0" w:space="0" w:color="auto"/>
            <w:left w:val="none" w:sz="0" w:space="0" w:color="auto"/>
            <w:bottom w:val="none" w:sz="0" w:space="0" w:color="auto"/>
            <w:right w:val="none" w:sz="0" w:space="0" w:color="auto"/>
          </w:divBdr>
        </w:div>
        <w:div w:id="878206017">
          <w:marLeft w:val="547"/>
          <w:marRight w:val="0"/>
          <w:marTop w:val="0"/>
          <w:marBottom w:val="0"/>
          <w:divBdr>
            <w:top w:val="none" w:sz="0" w:space="0" w:color="auto"/>
            <w:left w:val="none" w:sz="0" w:space="0" w:color="auto"/>
            <w:bottom w:val="none" w:sz="0" w:space="0" w:color="auto"/>
            <w:right w:val="none" w:sz="0" w:space="0" w:color="auto"/>
          </w:divBdr>
        </w:div>
        <w:div w:id="195435701">
          <w:marLeft w:val="547"/>
          <w:marRight w:val="0"/>
          <w:marTop w:val="0"/>
          <w:marBottom w:val="0"/>
          <w:divBdr>
            <w:top w:val="none" w:sz="0" w:space="0" w:color="auto"/>
            <w:left w:val="none" w:sz="0" w:space="0" w:color="auto"/>
            <w:bottom w:val="none" w:sz="0" w:space="0" w:color="auto"/>
            <w:right w:val="none" w:sz="0" w:space="0" w:color="auto"/>
          </w:divBdr>
        </w:div>
        <w:div w:id="402457987">
          <w:marLeft w:val="547"/>
          <w:marRight w:val="0"/>
          <w:marTop w:val="0"/>
          <w:marBottom w:val="0"/>
          <w:divBdr>
            <w:top w:val="none" w:sz="0" w:space="0" w:color="auto"/>
            <w:left w:val="none" w:sz="0" w:space="0" w:color="auto"/>
            <w:bottom w:val="none" w:sz="0" w:space="0" w:color="auto"/>
            <w:right w:val="none" w:sz="0" w:space="0" w:color="auto"/>
          </w:divBdr>
        </w:div>
        <w:div w:id="1294479992">
          <w:marLeft w:val="547"/>
          <w:marRight w:val="0"/>
          <w:marTop w:val="0"/>
          <w:marBottom w:val="0"/>
          <w:divBdr>
            <w:top w:val="none" w:sz="0" w:space="0" w:color="auto"/>
            <w:left w:val="none" w:sz="0" w:space="0" w:color="auto"/>
            <w:bottom w:val="none" w:sz="0" w:space="0" w:color="auto"/>
            <w:right w:val="none" w:sz="0" w:space="0" w:color="auto"/>
          </w:divBdr>
        </w:div>
        <w:div w:id="1335375742">
          <w:marLeft w:val="547"/>
          <w:marRight w:val="0"/>
          <w:marTop w:val="0"/>
          <w:marBottom w:val="0"/>
          <w:divBdr>
            <w:top w:val="none" w:sz="0" w:space="0" w:color="auto"/>
            <w:left w:val="none" w:sz="0" w:space="0" w:color="auto"/>
            <w:bottom w:val="none" w:sz="0" w:space="0" w:color="auto"/>
            <w:right w:val="none" w:sz="0" w:space="0" w:color="auto"/>
          </w:divBdr>
        </w:div>
        <w:div w:id="2129080872">
          <w:marLeft w:val="547"/>
          <w:marRight w:val="0"/>
          <w:marTop w:val="0"/>
          <w:marBottom w:val="0"/>
          <w:divBdr>
            <w:top w:val="none" w:sz="0" w:space="0" w:color="auto"/>
            <w:left w:val="none" w:sz="0" w:space="0" w:color="auto"/>
            <w:bottom w:val="none" w:sz="0" w:space="0" w:color="auto"/>
            <w:right w:val="none" w:sz="0" w:space="0" w:color="auto"/>
          </w:divBdr>
        </w:div>
        <w:div w:id="1057707756">
          <w:marLeft w:val="547"/>
          <w:marRight w:val="0"/>
          <w:marTop w:val="0"/>
          <w:marBottom w:val="0"/>
          <w:divBdr>
            <w:top w:val="none" w:sz="0" w:space="0" w:color="auto"/>
            <w:left w:val="none" w:sz="0" w:space="0" w:color="auto"/>
            <w:bottom w:val="none" w:sz="0" w:space="0" w:color="auto"/>
            <w:right w:val="none" w:sz="0" w:space="0" w:color="auto"/>
          </w:divBdr>
        </w:div>
        <w:div w:id="1627002010">
          <w:marLeft w:val="547"/>
          <w:marRight w:val="0"/>
          <w:marTop w:val="0"/>
          <w:marBottom w:val="0"/>
          <w:divBdr>
            <w:top w:val="none" w:sz="0" w:space="0" w:color="auto"/>
            <w:left w:val="none" w:sz="0" w:space="0" w:color="auto"/>
            <w:bottom w:val="none" w:sz="0" w:space="0" w:color="auto"/>
            <w:right w:val="none" w:sz="0" w:space="0" w:color="auto"/>
          </w:divBdr>
        </w:div>
        <w:div w:id="42291568">
          <w:marLeft w:val="547"/>
          <w:marRight w:val="0"/>
          <w:marTop w:val="0"/>
          <w:marBottom w:val="0"/>
          <w:divBdr>
            <w:top w:val="none" w:sz="0" w:space="0" w:color="auto"/>
            <w:left w:val="none" w:sz="0" w:space="0" w:color="auto"/>
            <w:bottom w:val="none" w:sz="0" w:space="0" w:color="auto"/>
            <w:right w:val="none" w:sz="0" w:space="0" w:color="auto"/>
          </w:divBdr>
        </w:div>
        <w:div w:id="2130933963">
          <w:marLeft w:val="547"/>
          <w:marRight w:val="0"/>
          <w:marTop w:val="0"/>
          <w:marBottom w:val="0"/>
          <w:divBdr>
            <w:top w:val="none" w:sz="0" w:space="0" w:color="auto"/>
            <w:left w:val="none" w:sz="0" w:space="0" w:color="auto"/>
            <w:bottom w:val="none" w:sz="0" w:space="0" w:color="auto"/>
            <w:right w:val="none" w:sz="0" w:space="0" w:color="auto"/>
          </w:divBdr>
        </w:div>
        <w:div w:id="1261068163">
          <w:marLeft w:val="547"/>
          <w:marRight w:val="0"/>
          <w:marTop w:val="0"/>
          <w:marBottom w:val="0"/>
          <w:divBdr>
            <w:top w:val="none" w:sz="0" w:space="0" w:color="auto"/>
            <w:left w:val="none" w:sz="0" w:space="0" w:color="auto"/>
            <w:bottom w:val="none" w:sz="0" w:space="0" w:color="auto"/>
            <w:right w:val="none" w:sz="0" w:space="0" w:color="auto"/>
          </w:divBdr>
        </w:div>
        <w:div w:id="1892575097">
          <w:marLeft w:val="547"/>
          <w:marRight w:val="0"/>
          <w:marTop w:val="0"/>
          <w:marBottom w:val="0"/>
          <w:divBdr>
            <w:top w:val="none" w:sz="0" w:space="0" w:color="auto"/>
            <w:left w:val="none" w:sz="0" w:space="0" w:color="auto"/>
            <w:bottom w:val="none" w:sz="0" w:space="0" w:color="auto"/>
            <w:right w:val="none" w:sz="0" w:space="0" w:color="auto"/>
          </w:divBdr>
        </w:div>
        <w:div w:id="637958220">
          <w:marLeft w:val="547"/>
          <w:marRight w:val="0"/>
          <w:marTop w:val="0"/>
          <w:marBottom w:val="0"/>
          <w:divBdr>
            <w:top w:val="none" w:sz="0" w:space="0" w:color="auto"/>
            <w:left w:val="none" w:sz="0" w:space="0" w:color="auto"/>
            <w:bottom w:val="none" w:sz="0" w:space="0" w:color="auto"/>
            <w:right w:val="none" w:sz="0" w:space="0" w:color="auto"/>
          </w:divBdr>
        </w:div>
      </w:divsChild>
    </w:div>
    <w:div w:id="1057439946">
      <w:bodyDiv w:val="1"/>
      <w:marLeft w:val="0"/>
      <w:marRight w:val="0"/>
      <w:marTop w:val="0"/>
      <w:marBottom w:val="0"/>
      <w:divBdr>
        <w:top w:val="none" w:sz="0" w:space="0" w:color="auto"/>
        <w:left w:val="none" w:sz="0" w:space="0" w:color="auto"/>
        <w:bottom w:val="none" w:sz="0" w:space="0" w:color="auto"/>
        <w:right w:val="none" w:sz="0" w:space="0" w:color="auto"/>
      </w:divBdr>
    </w:div>
    <w:div w:id="1144587183">
      <w:bodyDiv w:val="1"/>
      <w:marLeft w:val="0"/>
      <w:marRight w:val="0"/>
      <w:marTop w:val="0"/>
      <w:marBottom w:val="0"/>
      <w:divBdr>
        <w:top w:val="none" w:sz="0" w:space="0" w:color="auto"/>
        <w:left w:val="none" w:sz="0" w:space="0" w:color="auto"/>
        <w:bottom w:val="none" w:sz="0" w:space="0" w:color="auto"/>
        <w:right w:val="none" w:sz="0" w:space="0" w:color="auto"/>
      </w:divBdr>
    </w:div>
    <w:div w:id="1436317565">
      <w:bodyDiv w:val="1"/>
      <w:marLeft w:val="0"/>
      <w:marRight w:val="0"/>
      <w:marTop w:val="0"/>
      <w:marBottom w:val="0"/>
      <w:divBdr>
        <w:top w:val="none" w:sz="0" w:space="0" w:color="auto"/>
        <w:left w:val="none" w:sz="0" w:space="0" w:color="auto"/>
        <w:bottom w:val="none" w:sz="0" w:space="0" w:color="auto"/>
        <w:right w:val="none" w:sz="0" w:space="0" w:color="auto"/>
      </w:divBdr>
      <w:divsChild>
        <w:div w:id="202257668">
          <w:marLeft w:val="547"/>
          <w:marRight w:val="0"/>
          <w:marTop w:val="0"/>
          <w:marBottom w:val="0"/>
          <w:divBdr>
            <w:top w:val="none" w:sz="0" w:space="0" w:color="auto"/>
            <w:left w:val="none" w:sz="0" w:space="0" w:color="auto"/>
            <w:bottom w:val="none" w:sz="0" w:space="0" w:color="auto"/>
            <w:right w:val="none" w:sz="0" w:space="0" w:color="auto"/>
          </w:divBdr>
        </w:div>
        <w:div w:id="625697094">
          <w:marLeft w:val="547"/>
          <w:marRight w:val="0"/>
          <w:marTop w:val="0"/>
          <w:marBottom w:val="0"/>
          <w:divBdr>
            <w:top w:val="none" w:sz="0" w:space="0" w:color="auto"/>
            <w:left w:val="none" w:sz="0" w:space="0" w:color="auto"/>
            <w:bottom w:val="none" w:sz="0" w:space="0" w:color="auto"/>
            <w:right w:val="none" w:sz="0" w:space="0" w:color="auto"/>
          </w:divBdr>
        </w:div>
      </w:divsChild>
    </w:div>
    <w:div w:id="1855456025">
      <w:bodyDiv w:val="1"/>
      <w:marLeft w:val="0"/>
      <w:marRight w:val="0"/>
      <w:marTop w:val="0"/>
      <w:marBottom w:val="0"/>
      <w:divBdr>
        <w:top w:val="none" w:sz="0" w:space="0" w:color="auto"/>
        <w:left w:val="none" w:sz="0" w:space="0" w:color="auto"/>
        <w:bottom w:val="none" w:sz="0" w:space="0" w:color="auto"/>
        <w:right w:val="none" w:sz="0" w:space="0" w:color="auto"/>
      </w:divBdr>
      <w:divsChild>
        <w:div w:id="58679338">
          <w:marLeft w:val="720"/>
          <w:marRight w:val="0"/>
          <w:marTop w:val="77"/>
          <w:marBottom w:val="0"/>
          <w:divBdr>
            <w:top w:val="none" w:sz="0" w:space="0" w:color="auto"/>
            <w:left w:val="none" w:sz="0" w:space="0" w:color="auto"/>
            <w:bottom w:val="none" w:sz="0" w:space="0" w:color="auto"/>
            <w:right w:val="none" w:sz="0" w:space="0" w:color="auto"/>
          </w:divBdr>
        </w:div>
        <w:div w:id="1059590435">
          <w:marLeft w:val="720"/>
          <w:marRight w:val="0"/>
          <w:marTop w:val="77"/>
          <w:marBottom w:val="0"/>
          <w:divBdr>
            <w:top w:val="none" w:sz="0" w:space="0" w:color="auto"/>
            <w:left w:val="none" w:sz="0" w:space="0" w:color="auto"/>
            <w:bottom w:val="none" w:sz="0" w:space="0" w:color="auto"/>
            <w:right w:val="none" w:sz="0" w:space="0" w:color="auto"/>
          </w:divBdr>
        </w:div>
        <w:div w:id="468519069">
          <w:marLeft w:val="720"/>
          <w:marRight w:val="0"/>
          <w:marTop w:val="77"/>
          <w:marBottom w:val="0"/>
          <w:divBdr>
            <w:top w:val="none" w:sz="0" w:space="0" w:color="auto"/>
            <w:left w:val="none" w:sz="0" w:space="0" w:color="auto"/>
            <w:bottom w:val="none" w:sz="0" w:space="0" w:color="auto"/>
            <w:right w:val="none" w:sz="0" w:space="0" w:color="auto"/>
          </w:divBdr>
        </w:div>
        <w:div w:id="507794190">
          <w:marLeft w:val="720"/>
          <w:marRight w:val="0"/>
          <w:marTop w:val="77"/>
          <w:marBottom w:val="0"/>
          <w:divBdr>
            <w:top w:val="none" w:sz="0" w:space="0" w:color="auto"/>
            <w:left w:val="none" w:sz="0" w:space="0" w:color="auto"/>
            <w:bottom w:val="none" w:sz="0" w:space="0" w:color="auto"/>
            <w:right w:val="none" w:sz="0" w:space="0" w:color="auto"/>
          </w:divBdr>
        </w:div>
        <w:div w:id="708528399">
          <w:marLeft w:val="720"/>
          <w:marRight w:val="0"/>
          <w:marTop w:val="77"/>
          <w:marBottom w:val="0"/>
          <w:divBdr>
            <w:top w:val="none" w:sz="0" w:space="0" w:color="auto"/>
            <w:left w:val="none" w:sz="0" w:space="0" w:color="auto"/>
            <w:bottom w:val="none" w:sz="0" w:space="0" w:color="auto"/>
            <w:right w:val="none" w:sz="0" w:space="0" w:color="auto"/>
          </w:divBdr>
        </w:div>
      </w:divsChild>
    </w:div>
    <w:div w:id="200759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tour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rHWFabkfz-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3e5APp6UVQ4?t=1m40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L-nWzaIRcBU" TargetMode="External"/><Relationship Id="rId4" Type="http://schemas.openxmlformats.org/officeDocument/2006/relationships/settings" Target="settings.xml"/><Relationship Id="rId9" Type="http://schemas.openxmlformats.org/officeDocument/2006/relationships/hyperlink" Target="http://www.contoura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355B-A846-44A5-AFC1-236CCFA0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Diamond</dc:creator>
  <cp:lastModifiedBy>Carlos Leon</cp:lastModifiedBy>
  <cp:revision>3</cp:revision>
  <cp:lastPrinted>2017-11-27T17:51:00Z</cp:lastPrinted>
  <dcterms:created xsi:type="dcterms:W3CDTF">2018-11-29T23:13:00Z</dcterms:created>
  <dcterms:modified xsi:type="dcterms:W3CDTF">2018-11-29T23:19:00Z</dcterms:modified>
</cp:coreProperties>
</file>