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D7D2" w14:textId="522003A0" w:rsidR="00043376" w:rsidRPr="00043376" w:rsidRDefault="00043376" w:rsidP="00043376">
      <w:pPr>
        <w:jc w:val="center"/>
        <w:rPr>
          <w:b/>
          <w:bCs/>
          <w:color w:val="FF0000"/>
        </w:rPr>
      </w:pPr>
      <w:r w:rsidRPr="00043376">
        <w:rPr>
          <w:b/>
          <w:bCs/>
          <w:color w:val="FF0000"/>
        </w:rPr>
        <w:t>Chapter Insights November 18 - Call Summary</w:t>
      </w:r>
    </w:p>
    <w:p w14:paraId="37A98601" w14:textId="77777777" w:rsidR="00043376" w:rsidRPr="00043376" w:rsidRDefault="00043376" w:rsidP="00043376">
      <w:r w:rsidRPr="00043376">
        <w:rPr>
          <w:b/>
          <w:bCs/>
        </w:rPr>
        <w:t>California Wildfire Programming Initiative</w:t>
      </w:r>
      <w:r w:rsidRPr="00043376">
        <w:br/>
        <w:t>Rhea Ricard described how Ellen Yang led a rapid-response educational effort following devastating California wildfires. Although personally affected (evacuation), Ellen organized a four-part “Wildfire Series” of webinars to support both individuals and businesses facing insurance and legal issues related to the fires. She recruited several sponsors—Hub, Brower Law Group, McGuire Woods, and Ogletree Deakins—who agreed to present without using their contracted sponsorship slots. Ellen also created a video message for affected members and compiled vetted pro bono and relief resources. The series had strong attendance and helped unify the chapter.</w:t>
      </w:r>
    </w:p>
    <w:p w14:paraId="7D86B1CC" w14:textId="77777777" w:rsidR="00043376" w:rsidRPr="00043376" w:rsidRDefault="00043376" w:rsidP="00043376">
      <w:r w:rsidRPr="00043376">
        <w:rPr>
          <w:b/>
          <w:bCs/>
        </w:rPr>
        <w:t>California Multi-Chapter “Day at the Gym” Initiative</w:t>
      </w:r>
      <w:r w:rsidRPr="00043376">
        <w:br/>
        <w:t xml:space="preserve">Mark Karpe explained how Ellen also facilitated collaboration among California ACC chapters, leading to a statewide wellness event in partnership with Equinox gyms. After coordination across chapters and Equinox headquarters—plus logistical work on timing, waivers, QR codes, and promotion—members and families enjoyed free access to classes and facilities. Attendance was </w:t>
      </w:r>
      <w:proofErr w:type="gramStart"/>
      <w:r w:rsidRPr="00043376">
        <w:t>strong, and</w:t>
      </w:r>
      <w:proofErr w:type="gramEnd"/>
      <w:r w:rsidRPr="00043376">
        <w:t xml:space="preserve"> scheduling it early on a Saturday helped maximize participation.</w:t>
      </w:r>
    </w:p>
    <w:p w14:paraId="335FCC5B" w14:textId="74C62BF7" w:rsidR="00043376" w:rsidRPr="00043376" w:rsidRDefault="00043376" w:rsidP="00043376">
      <w:r w:rsidRPr="00043376">
        <w:rPr>
          <w:b/>
          <w:bCs/>
        </w:rPr>
        <w:t>Discussion on Charging for Events &amp; Attendance Challenges</w:t>
      </w:r>
      <w:r w:rsidRPr="00043376">
        <w:br/>
        <w:t>Australia,</w:t>
      </w:r>
      <w:r>
        <w:t xml:space="preserve"> </w:t>
      </w:r>
      <w:r w:rsidRPr="00043376">
        <w:t>Michigan, and others discussed challenges around event attendance, especially for wellness or non-CLE activities.</w:t>
      </w:r>
      <w:r w:rsidRPr="00043376">
        <w:br/>
        <w:t>Key themes:</w:t>
      </w:r>
    </w:p>
    <w:p w14:paraId="7D2F929A" w14:textId="77777777" w:rsidR="00043376" w:rsidRPr="00043376" w:rsidRDefault="00043376" w:rsidP="00043376">
      <w:pPr>
        <w:numPr>
          <w:ilvl w:val="0"/>
          <w:numId w:val="1"/>
        </w:numPr>
      </w:pPr>
      <w:r w:rsidRPr="00043376">
        <w:t>Many chapters face high no-show rates, often 50% or more.</w:t>
      </w:r>
    </w:p>
    <w:p w14:paraId="25180C18" w14:textId="77777777" w:rsidR="00043376" w:rsidRPr="00043376" w:rsidRDefault="00043376" w:rsidP="00043376">
      <w:pPr>
        <w:numPr>
          <w:ilvl w:val="0"/>
          <w:numId w:val="1"/>
        </w:numPr>
      </w:pPr>
      <w:r w:rsidRPr="00043376">
        <w:t>Some chapters charge small fees (e.g., $25) to reduce cancellations.</w:t>
      </w:r>
    </w:p>
    <w:p w14:paraId="2694A8CC" w14:textId="77777777" w:rsidR="00043376" w:rsidRPr="00043376" w:rsidRDefault="00043376" w:rsidP="00043376">
      <w:pPr>
        <w:numPr>
          <w:ilvl w:val="0"/>
          <w:numId w:val="1"/>
        </w:numPr>
      </w:pPr>
      <w:r w:rsidRPr="00043376">
        <w:t>Others noted conflict with national policies that require charging for every event, even free activities—sometimes leading to member dissatisfaction.</w:t>
      </w:r>
    </w:p>
    <w:p w14:paraId="301C56CD" w14:textId="77777777" w:rsidR="00043376" w:rsidRPr="00043376" w:rsidRDefault="00043376" w:rsidP="00043376">
      <w:pPr>
        <w:numPr>
          <w:ilvl w:val="0"/>
          <w:numId w:val="1"/>
        </w:numPr>
      </w:pPr>
      <w:r w:rsidRPr="00043376">
        <w:t>Hosting family-friendly events can improve turnout.</w:t>
      </w:r>
    </w:p>
    <w:p w14:paraId="4A3AD542" w14:textId="77777777" w:rsidR="00043376" w:rsidRPr="00043376" w:rsidRDefault="00043376" w:rsidP="00043376">
      <w:pPr>
        <w:numPr>
          <w:ilvl w:val="0"/>
          <w:numId w:val="1"/>
        </w:numPr>
      </w:pPr>
      <w:r w:rsidRPr="00043376">
        <w:t>Personal outreach to registrants increases follow-through.</w:t>
      </w:r>
    </w:p>
    <w:p w14:paraId="4E141633" w14:textId="77777777" w:rsidR="00043376" w:rsidRPr="00043376" w:rsidRDefault="00043376" w:rsidP="00043376">
      <w:pPr>
        <w:numPr>
          <w:ilvl w:val="0"/>
          <w:numId w:val="1"/>
        </w:numPr>
      </w:pPr>
      <w:r w:rsidRPr="00043376">
        <w:t>Exclusive venues sometimes attract interest, though location and timing matter.</w:t>
      </w:r>
    </w:p>
    <w:p w14:paraId="73A47878" w14:textId="77777777" w:rsidR="00043376" w:rsidRPr="00043376" w:rsidRDefault="00043376" w:rsidP="00043376">
      <w:r w:rsidRPr="00043376">
        <w:rPr>
          <w:b/>
          <w:bCs/>
        </w:rPr>
        <w:t>Mississippi Expansion Pilot (Louisiana Chapter)</w:t>
      </w:r>
      <w:r w:rsidRPr="00043376">
        <w:br/>
        <w:t xml:space="preserve">Celeste Rasmussen announced that the Louisiana Chapter is now a certified CLE provider in Mississippi. They plan to offer Mississippi-eligible CLE for the 35 </w:t>
      </w:r>
      <w:proofErr w:type="spellStart"/>
      <w:r w:rsidRPr="00043376">
        <w:t>unchaptered</w:t>
      </w:r>
      <w:proofErr w:type="spellEnd"/>
      <w:r w:rsidRPr="00043376">
        <w:t xml:space="preserve"> ACC members living there—many </w:t>
      </w:r>
      <w:proofErr w:type="gramStart"/>
      <w:r w:rsidRPr="00043376">
        <w:t>closer</w:t>
      </w:r>
      <w:proofErr w:type="gramEnd"/>
      <w:r w:rsidRPr="00043376">
        <w:t xml:space="preserve"> to New Orleans than to Jackson. Sponsors can opt into </w:t>
      </w:r>
      <w:r w:rsidRPr="00043376">
        <w:lastRenderedPageBreak/>
        <w:t>a “Mississippi Pioneer” add-on to support these programs. Plans include using inexpensive Amtrak service to host events and possibly combining CLE with service projects.</w:t>
      </w:r>
    </w:p>
    <w:p w14:paraId="07AE7A8D" w14:textId="77777777" w:rsidR="00043376" w:rsidRPr="00043376" w:rsidRDefault="00043376" w:rsidP="00043376">
      <w:r w:rsidRPr="00043376">
        <w:rPr>
          <w:b/>
          <w:bCs/>
        </w:rPr>
        <w:t>Programming &amp; Attendance Challenges in Asia (Hong Kong &amp; Singapore)</w:t>
      </w:r>
      <w:r w:rsidRPr="00043376">
        <w:br/>
        <w:t>Winnie (Hong Kong) raised difficulties with in-person attendance—high webinar numbers but low turnout for seminars and wellness events.</w:t>
      </w:r>
      <w:r w:rsidRPr="00043376">
        <w:br/>
        <w:t>Suggestions from others included:</w:t>
      </w:r>
    </w:p>
    <w:p w14:paraId="4BA01683" w14:textId="77777777" w:rsidR="00043376" w:rsidRPr="00043376" w:rsidRDefault="00043376" w:rsidP="00043376">
      <w:pPr>
        <w:numPr>
          <w:ilvl w:val="0"/>
          <w:numId w:val="2"/>
        </w:numPr>
      </w:pPr>
      <w:r w:rsidRPr="00043376">
        <w:t>Allowing family participation.</w:t>
      </w:r>
    </w:p>
    <w:p w14:paraId="578C8EA2" w14:textId="77777777" w:rsidR="00043376" w:rsidRPr="00043376" w:rsidRDefault="00043376" w:rsidP="00043376">
      <w:pPr>
        <w:numPr>
          <w:ilvl w:val="0"/>
          <w:numId w:val="2"/>
        </w:numPr>
      </w:pPr>
      <w:r w:rsidRPr="00043376">
        <w:t>Avoiding scheduling conflicts like holidays.</w:t>
      </w:r>
    </w:p>
    <w:p w14:paraId="4648BE09" w14:textId="77777777" w:rsidR="00043376" w:rsidRPr="00043376" w:rsidRDefault="00043376" w:rsidP="00043376">
      <w:pPr>
        <w:numPr>
          <w:ilvl w:val="0"/>
          <w:numId w:val="2"/>
        </w:numPr>
      </w:pPr>
      <w:r w:rsidRPr="00043376">
        <w:t>Increasing personal engagement with members.</w:t>
      </w:r>
    </w:p>
    <w:p w14:paraId="6FAF294C" w14:textId="77777777" w:rsidR="00043376" w:rsidRPr="00043376" w:rsidRDefault="00043376" w:rsidP="00043376">
      <w:pPr>
        <w:numPr>
          <w:ilvl w:val="0"/>
          <w:numId w:val="2"/>
        </w:numPr>
      </w:pPr>
      <w:r w:rsidRPr="00043376">
        <w:t>Creating incentives (e.g., attending X hours to qualify for special events).</w:t>
      </w:r>
    </w:p>
    <w:p w14:paraId="6ECC1010" w14:textId="7191AA20" w:rsidR="00043376" w:rsidRDefault="00043376" w:rsidP="00043376">
      <w:r w:rsidRPr="00043376">
        <w:t>Overall, chapters shared strategies for improving engagement, balancing cost structures, and building community through responsive and inclusive programming.</w:t>
      </w:r>
    </w:p>
    <w:p w14:paraId="2BF825AB" w14:textId="77777777" w:rsidR="00043376" w:rsidRPr="00043376" w:rsidRDefault="00043376" w:rsidP="00043376">
      <w:pPr>
        <w:rPr>
          <w:b/>
          <w:bCs/>
        </w:rPr>
      </w:pPr>
      <w:r w:rsidRPr="00043376">
        <w:rPr>
          <w:b/>
          <w:bCs/>
        </w:rPr>
        <w:t>1. Member Surveys &amp; Engagement</w:t>
      </w:r>
    </w:p>
    <w:p w14:paraId="69C9E08B" w14:textId="77777777" w:rsidR="00043376" w:rsidRPr="00043376" w:rsidRDefault="00043376" w:rsidP="00043376">
      <w:pPr>
        <w:numPr>
          <w:ilvl w:val="0"/>
          <w:numId w:val="3"/>
        </w:numPr>
      </w:pPr>
      <w:r w:rsidRPr="00043376">
        <w:t>Celeste (Louisiana) shares that a member survey—borrowed from another chapter—was highly effective and even helped identify four new board members.</w:t>
      </w:r>
    </w:p>
    <w:p w14:paraId="00B82305" w14:textId="77777777" w:rsidR="00043376" w:rsidRPr="00043376" w:rsidRDefault="00043376" w:rsidP="00043376">
      <w:pPr>
        <w:numPr>
          <w:ilvl w:val="0"/>
          <w:numId w:val="3"/>
        </w:numPr>
      </w:pPr>
      <w:r w:rsidRPr="00043376">
        <w:t>Winnie (Hong Kong) notes that despite survey efforts, turnout for membership events remains low, though webinars and seminars perform well.</w:t>
      </w:r>
    </w:p>
    <w:p w14:paraId="33242739" w14:textId="77777777" w:rsidR="00043376" w:rsidRPr="00043376" w:rsidRDefault="00043376" w:rsidP="00043376">
      <w:pPr>
        <w:numPr>
          <w:ilvl w:val="0"/>
          <w:numId w:val="3"/>
        </w:numPr>
      </w:pPr>
      <w:r w:rsidRPr="00043376">
        <w:t>Several chapters face challenges engaging members who live far outside major cities.</w:t>
      </w:r>
    </w:p>
    <w:p w14:paraId="0D01763A" w14:textId="77777777" w:rsidR="00043376" w:rsidRPr="00043376" w:rsidRDefault="00043376" w:rsidP="00043376">
      <w:pPr>
        <w:rPr>
          <w:b/>
          <w:bCs/>
        </w:rPr>
      </w:pPr>
      <w:r w:rsidRPr="00043376">
        <w:rPr>
          <w:b/>
          <w:bCs/>
        </w:rPr>
        <w:t>2. Event Sponsorship Trends</w:t>
      </w:r>
    </w:p>
    <w:p w14:paraId="0C2136C0" w14:textId="77777777" w:rsidR="00043376" w:rsidRPr="00043376" w:rsidRDefault="00043376" w:rsidP="00043376">
      <w:pPr>
        <w:numPr>
          <w:ilvl w:val="0"/>
          <w:numId w:val="4"/>
        </w:numPr>
      </w:pPr>
      <w:r w:rsidRPr="00043376">
        <w:t>Many chapters struggle to get sponsors for pure membership/social events; law firms usually sponsor only when CLE credit is included.</w:t>
      </w:r>
    </w:p>
    <w:p w14:paraId="713E0AE6" w14:textId="77777777" w:rsidR="00043376" w:rsidRPr="00043376" w:rsidRDefault="00043376" w:rsidP="00043376">
      <w:pPr>
        <w:numPr>
          <w:ilvl w:val="0"/>
          <w:numId w:val="4"/>
        </w:numPr>
      </w:pPr>
      <w:r w:rsidRPr="00043376">
        <w:t>Wellness activities sometimes attract sponsorship even without CLEs.</w:t>
      </w:r>
    </w:p>
    <w:p w14:paraId="74350303" w14:textId="77777777" w:rsidR="00043376" w:rsidRPr="00043376" w:rsidRDefault="00043376" w:rsidP="00043376">
      <w:pPr>
        <w:numPr>
          <w:ilvl w:val="0"/>
          <w:numId w:val="4"/>
        </w:numPr>
      </w:pPr>
      <w:r w:rsidRPr="00043376">
        <w:t>Venue attractiveness contributes significantly to turnout (e.g., Magic Castle event in LA, boat parties in Singapore).</w:t>
      </w:r>
    </w:p>
    <w:p w14:paraId="30C19070" w14:textId="77777777" w:rsidR="00043376" w:rsidRPr="00043376" w:rsidRDefault="00043376" w:rsidP="00043376">
      <w:pPr>
        <w:rPr>
          <w:b/>
          <w:bCs/>
        </w:rPr>
      </w:pPr>
      <w:r w:rsidRPr="00043376">
        <w:rPr>
          <w:b/>
          <w:bCs/>
        </w:rPr>
        <w:t>3. Popular Seminar Topics</w:t>
      </w:r>
    </w:p>
    <w:p w14:paraId="0CCEE664" w14:textId="77777777" w:rsidR="00043376" w:rsidRPr="00043376" w:rsidRDefault="00043376" w:rsidP="00043376">
      <w:pPr>
        <w:numPr>
          <w:ilvl w:val="0"/>
          <w:numId w:val="5"/>
        </w:numPr>
      </w:pPr>
      <w:r w:rsidRPr="00043376">
        <w:t>Common high-interest topics include anti-corruption, AI, sanctions compliance, cross-border issues, and regional legal updates (data privacy across Asia, sanctions impacting China/US).</w:t>
      </w:r>
    </w:p>
    <w:p w14:paraId="78694BAA" w14:textId="77777777" w:rsidR="00043376" w:rsidRPr="00043376" w:rsidRDefault="00043376" w:rsidP="00043376">
      <w:pPr>
        <w:numPr>
          <w:ilvl w:val="0"/>
          <w:numId w:val="5"/>
        </w:numPr>
      </w:pPr>
      <w:r w:rsidRPr="00043376">
        <w:t>Some chapters feel they’ve exhausted their main topics and are seeking fresh ideas.</w:t>
      </w:r>
    </w:p>
    <w:p w14:paraId="7A88A194" w14:textId="77777777" w:rsidR="00043376" w:rsidRPr="00043376" w:rsidRDefault="00043376" w:rsidP="00043376">
      <w:pPr>
        <w:numPr>
          <w:ilvl w:val="0"/>
          <w:numId w:val="5"/>
        </w:numPr>
      </w:pPr>
      <w:r w:rsidRPr="00043376">
        <w:lastRenderedPageBreak/>
        <w:t xml:space="preserve">Stablecoins/crypto is </w:t>
      </w:r>
      <w:r w:rsidRPr="00043376">
        <w:rPr>
          <w:i/>
          <w:iCs/>
        </w:rPr>
        <w:t>not</w:t>
      </w:r>
      <w:r w:rsidRPr="00043376">
        <w:t xml:space="preserve"> widely popular across chapters unless members work in that area.</w:t>
      </w:r>
    </w:p>
    <w:p w14:paraId="66ABAF76" w14:textId="77777777" w:rsidR="00043376" w:rsidRPr="00043376" w:rsidRDefault="00043376" w:rsidP="00043376">
      <w:pPr>
        <w:rPr>
          <w:b/>
          <w:bCs/>
        </w:rPr>
      </w:pPr>
      <w:r w:rsidRPr="00043376">
        <w:rPr>
          <w:b/>
          <w:bCs/>
        </w:rPr>
        <w:t>4. Geographic Challenges</w:t>
      </w:r>
    </w:p>
    <w:p w14:paraId="63773614" w14:textId="77777777" w:rsidR="00043376" w:rsidRPr="00043376" w:rsidRDefault="00043376" w:rsidP="00043376">
      <w:pPr>
        <w:numPr>
          <w:ilvl w:val="0"/>
          <w:numId w:val="6"/>
        </w:numPr>
      </w:pPr>
      <w:r w:rsidRPr="00043376">
        <w:t>Chapters covering extremely large or spread-out areas (Australia, Louisiana, Southern California) discuss:</w:t>
      </w:r>
    </w:p>
    <w:p w14:paraId="6F6292E7" w14:textId="77777777" w:rsidR="00043376" w:rsidRPr="00043376" w:rsidRDefault="00043376" w:rsidP="00043376">
      <w:pPr>
        <w:numPr>
          <w:ilvl w:val="1"/>
          <w:numId w:val="6"/>
        </w:numPr>
      </w:pPr>
      <w:r w:rsidRPr="00043376">
        <w:t>rotating meeting formats</w:t>
      </w:r>
    </w:p>
    <w:p w14:paraId="33AA8880" w14:textId="77777777" w:rsidR="00043376" w:rsidRPr="00043376" w:rsidRDefault="00043376" w:rsidP="00043376">
      <w:pPr>
        <w:numPr>
          <w:ilvl w:val="1"/>
          <w:numId w:val="6"/>
        </w:numPr>
      </w:pPr>
      <w:r w:rsidRPr="00043376">
        <w:t>hybrid or online committee meetings</w:t>
      </w:r>
    </w:p>
    <w:p w14:paraId="30437596" w14:textId="77777777" w:rsidR="00043376" w:rsidRPr="00043376" w:rsidRDefault="00043376" w:rsidP="00043376">
      <w:pPr>
        <w:numPr>
          <w:ilvl w:val="1"/>
          <w:numId w:val="6"/>
        </w:numPr>
      </w:pPr>
      <w:r w:rsidRPr="00043376">
        <w:t>challenges hosting events outside main cities</w:t>
      </w:r>
    </w:p>
    <w:p w14:paraId="2702C23A" w14:textId="77777777" w:rsidR="00043376" w:rsidRPr="00043376" w:rsidRDefault="00043376" w:rsidP="00043376">
      <w:pPr>
        <w:numPr>
          <w:ilvl w:val="1"/>
          <w:numId w:val="6"/>
        </w:numPr>
      </w:pPr>
      <w:r w:rsidRPr="00043376">
        <w:t>using WhatsApp groups for quick member feedback and informal idea-sharing</w:t>
      </w:r>
    </w:p>
    <w:p w14:paraId="2FE1F088" w14:textId="77777777" w:rsidR="00043376" w:rsidRPr="00043376" w:rsidRDefault="00043376" w:rsidP="00043376">
      <w:pPr>
        <w:rPr>
          <w:b/>
          <w:bCs/>
        </w:rPr>
      </w:pPr>
      <w:r w:rsidRPr="00043376">
        <w:rPr>
          <w:b/>
          <w:bCs/>
        </w:rPr>
        <w:t>5. New Initiatives to Reach Remote Members</w:t>
      </w:r>
    </w:p>
    <w:p w14:paraId="09D5537F" w14:textId="77777777" w:rsidR="00043376" w:rsidRPr="00043376" w:rsidRDefault="00043376" w:rsidP="00043376">
      <w:pPr>
        <w:numPr>
          <w:ilvl w:val="0"/>
          <w:numId w:val="7"/>
        </w:numPr>
      </w:pPr>
      <w:r w:rsidRPr="00043376">
        <w:t>Celeste proposes a new “Roundtable Around Louisiana” program: sponsors pay ~$250 to host simple networking lunches in outlying areas so members can connect informally.</w:t>
      </w:r>
    </w:p>
    <w:p w14:paraId="57F0EA8E" w14:textId="77777777" w:rsidR="00043376" w:rsidRPr="00043376" w:rsidRDefault="00043376" w:rsidP="00043376">
      <w:pPr>
        <w:numPr>
          <w:ilvl w:val="0"/>
          <w:numId w:val="7"/>
        </w:numPr>
      </w:pPr>
      <w:r w:rsidRPr="00043376">
        <w:t>Other chapters share similar successes:</w:t>
      </w:r>
    </w:p>
    <w:p w14:paraId="506324FF" w14:textId="77777777" w:rsidR="00043376" w:rsidRPr="00043376" w:rsidRDefault="00043376" w:rsidP="00043376">
      <w:pPr>
        <w:numPr>
          <w:ilvl w:val="1"/>
          <w:numId w:val="7"/>
        </w:numPr>
      </w:pPr>
      <w:r w:rsidRPr="00043376">
        <w:t>GC-only dinners</w:t>
      </w:r>
    </w:p>
    <w:p w14:paraId="068F3B8F" w14:textId="77777777" w:rsidR="00043376" w:rsidRPr="00043376" w:rsidRDefault="00043376" w:rsidP="00043376">
      <w:pPr>
        <w:numPr>
          <w:ilvl w:val="1"/>
          <w:numId w:val="7"/>
        </w:numPr>
      </w:pPr>
      <w:r w:rsidRPr="00043376">
        <w:t xml:space="preserve">breakfast series that </w:t>
      </w:r>
      <w:proofErr w:type="gramStart"/>
      <w:r w:rsidRPr="00043376">
        <w:t>end</w:t>
      </w:r>
      <w:proofErr w:type="gramEnd"/>
      <w:r w:rsidRPr="00043376">
        <w:t xml:space="preserve"> </w:t>
      </w:r>
      <w:proofErr w:type="gramStart"/>
      <w:r w:rsidRPr="00043376">
        <w:t>by</w:t>
      </w:r>
      <w:proofErr w:type="gramEnd"/>
      <w:r w:rsidRPr="00043376">
        <w:t xml:space="preserve"> 10 a.m.</w:t>
      </w:r>
    </w:p>
    <w:p w14:paraId="3FEC8629" w14:textId="77777777" w:rsidR="00043376" w:rsidRPr="00043376" w:rsidRDefault="00043376" w:rsidP="00043376">
      <w:pPr>
        <w:numPr>
          <w:ilvl w:val="1"/>
          <w:numId w:val="7"/>
        </w:numPr>
      </w:pPr>
      <w:r w:rsidRPr="00043376">
        <w:t>rotating local meetups hosted by sponsors or law firms</w:t>
      </w:r>
    </w:p>
    <w:p w14:paraId="6FE3A8FC" w14:textId="77777777" w:rsidR="00043376" w:rsidRPr="00043376" w:rsidRDefault="00043376" w:rsidP="00043376">
      <w:pPr>
        <w:rPr>
          <w:b/>
          <w:bCs/>
        </w:rPr>
      </w:pPr>
      <w:r w:rsidRPr="00043376">
        <w:rPr>
          <w:b/>
          <w:bCs/>
        </w:rPr>
        <w:t>6. Competing Organizations &amp; Differentiation</w:t>
      </w:r>
    </w:p>
    <w:p w14:paraId="0BD6C070" w14:textId="77777777" w:rsidR="00043376" w:rsidRPr="00043376" w:rsidRDefault="00043376" w:rsidP="00043376">
      <w:pPr>
        <w:numPr>
          <w:ilvl w:val="0"/>
          <w:numId w:val="8"/>
        </w:numPr>
      </w:pPr>
      <w:r w:rsidRPr="00043376">
        <w:t>Singapore mentions a direct competitor, but ACC differentiates itself through:</w:t>
      </w:r>
    </w:p>
    <w:p w14:paraId="48A149F3" w14:textId="77777777" w:rsidR="00043376" w:rsidRPr="00043376" w:rsidRDefault="00043376" w:rsidP="00043376">
      <w:pPr>
        <w:numPr>
          <w:ilvl w:val="1"/>
          <w:numId w:val="8"/>
        </w:numPr>
      </w:pPr>
      <w:r w:rsidRPr="00043376">
        <w:t>higher-quality, unique events</w:t>
      </w:r>
    </w:p>
    <w:p w14:paraId="6E9ED122" w14:textId="77777777" w:rsidR="00043376" w:rsidRPr="00043376" w:rsidRDefault="00043376" w:rsidP="00043376">
      <w:pPr>
        <w:numPr>
          <w:ilvl w:val="1"/>
          <w:numId w:val="8"/>
        </w:numPr>
      </w:pPr>
      <w:r w:rsidRPr="00043376">
        <w:t>marquee annual parties</w:t>
      </w:r>
    </w:p>
    <w:p w14:paraId="5DC9E7BB" w14:textId="77777777" w:rsidR="00043376" w:rsidRPr="00043376" w:rsidRDefault="00043376" w:rsidP="00043376">
      <w:pPr>
        <w:numPr>
          <w:ilvl w:val="1"/>
          <w:numId w:val="8"/>
        </w:numPr>
      </w:pPr>
      <w:r w:rsidRPr="00043376">
        <w:t>creative sponsor-partnered events (e.g., Halloween drinks, boat parties)</w:t>
      </w:r>
    </w:p>
    <w:p w14:paraId="25CBDDCE" w14:textId="77777777" w:rsidR="00043376" w:rsidRPr="00043376" w:rsidRDefault="00043376" w:rsidP="00043376">
      <w:pPr>
        <w:rPr>
          <w:b/>
          <w:bCs/>
        </w:rPr>
      </w:pPr>
      <w:r w:rsidRPr="00043376">
        <w:rPr>
          <w:b/>
          <w:bCs/>
        </w:rPr>
        <w:t>7. Legal Service Provider Sponsors</w:t>
      </w:r>
    </w:p>
    <w:p w14:paraId="1908FEC1" w14:textId="77777777" w:rsidR="00043376" w:rsidRPr="00043376" w:rsidRDefault="00043376" w:rsidP="00043376">
      <w:pPr>
        <w:numPr>
          <w:ilvl w:val="0"/>
          <w:numId w:val="9"/>
        </w:numPr>
      </w:pPr>
      <w:r w:rsidRPr="00043376">
        <w:t>Several chapters successfully use legal service providers (e.g., FTI, Thomson Reuters) as sponsors:</w:t>
      </w:r>
    </w:p>
    <w:p w14:paraId="09220091" w14:textId="77777777" w:rsidR="00043376" w:rsidRPr="00043376" w:rsidRDefault="00043376" w:rsidP="00043376">
      <w:pPr>
        <w:numPr>
          <w:ilvl w:val="1"/>
          <w:numId w:val="9"/>
        </w:numPr>
      </w:pPr>
      <w:r w:rsidRPr="00043376">
        <w:t>Written into sponsorship contracts</w:t>
      </w:r>
    </w:p>
    <w:p w14:paraId="787C74F8" w14:textId="77777777" w:rsidR="00043376" w:rsidRPr="00043376" w:rsidRDefault="00043376" w:rsidP="00043376">
      <w:pPr>
        <w:numPr>
          <w:ilvl w:val="1"/>
          <w:numId w:val="9"/>
        </w:numPr>
      </w:pPr>
      <w:r w:rsidRPr="00043376">
        <w:t>Often provide social-event funding</w:t>
      </w:r>
    </w:p>
    <w:p w14:paraId="59A03412" w14:textId="77777777" w:rsidR="00043376" w:rsidRPr="00043376" w:rsidRDefault="00043376" w:rsidP="00043376">
      <w:pPr>
        <w:numPr>
          <w:ilvl w:val="1"/>
          <w:numId w:val="9"/>
        </w:numPr>
      </w:pPr>
      <w:r w:rsidRPr="00043376">
        <w:lastRenderedPageBreak/>
        <w:t>Members appreciate no heavy sales pitches</w:t>
      </w:r>
    </w:p>
    <w:p w14:paraId="71FA789E" w14:textId="77777777" w:rsidR="00043376" w:rsidRPr="00043376" w:rsidRDefault="00043376" w:rsidP="00043376">
      <w:pPr>
        <w:numPr>
          <w:ilvl w:val="0"/>
          <w:numId w:val="9"/>
        </w:numPr>
      </w:pPr>
      <w:r w:rsidRPr="00043376">
        <w:t>Chapters share examples like including sponsor goodies in event bags, charcuterie workshops paired with discovery-focused presentations, etc.</w:t>
      </w:r>
    </w:p>
    <w:p w14:paraId="30F23CAF" w14:textId="77777777" w:rsidR="00043376" w:rsidRPr="00043376" w:rsidRDefault="00043376" w:rsidP="00043376">
      <w:pPr>
        <w:rPr>
          <w:b/>
          <w:bCs/>
        </w:rPr>
      </w:pPr>
      <w:r w:rsidRPr="00043376">
        <w:rPr>
          <w:b/>
          <w:bCs/>
        </w:rPr>
        <w:t>8. Importance of LDI &amp; Chapter Insight Calls</w:t>
      </w:r>
    </w:p>
    <w:p w14:paraId="580EE601" w14:textId="77777777" w:rsidR="00043376" w:rsidRPr="00043376" w:rsidRDefault="00043376" w:rsidP="00043376">
      <w:pPr>
        <w:numPr>
          <w:ilvl w:val="0"/>
          <w:numId w:val="10"/>
        </w:numPr>
      </w:pPr>
      <w:r w:rsidRPr="00043376">
        <w:t>Many participants highlight the value of LDI and these calls for sharing ideas between chapters of different sizes.</w:t>
      </w:r>
    </w:p>
    <w:p w14:paraId="4E9AABCC" w14:textId="77777777" w:rsidR="00043376" w:rsidRPr="00043376" w:rsidRDefault="00043376" w:rsidP="00043376">
      <w:pPr>
        <w:numPr>
          <w:ilvl w:val="0"/>
          <w:numId w:val="10"/>
        </w:numPr>
      </w:pPr>
      <w:r w:rsidRPr="00043376">
        <w:t>Cross-pollination between small and large chapters yields surprisingly useful strategies.</w:t>
      </w:r>
    </w:p>
    <w:p w14:paraId="7DF3B444" w14:textId="140F59E3" w:rsidR="00F56A97" w:rsidRDefault="00F56A97" w:rsidP="00043376"/>
    <w:sectPr w:rsidR="00F56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343"/>
    <w:multiLevelType w:val="multilevel"/>
    <w:tmpl w:val="844A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E7D00"/>
    <w:multiLevelType w:val="multilevel"/>
    <w:tmpl w:val="693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E0AE6"/>
    <w:multiLevelType w:val="multilevel"/>
    <w:tmpl w:val="BA52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B11D5"/>
    <w:multiLevelType w:val="multilevel"/>
    <w:tmpl w:val="72F8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47E8B"/>
    <w:multiLevelType w:val="multilevel"/>
    <w:tmpl w:val="D4BE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C4257"/>
    <w:multiLevelType w:val="multilevel"/>
    <w:tmpl w:val="865C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E455E"/>
    <w:multiLevelType w:val="multilevel"/>
    <w:tmpl w:val="D4EE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C6A0C"/>
    <w:multiLevelType w:val="multilevel"/>
    <w:tmpl w:val="2162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107F9"/>
    <w:multiLevelType w:val="multilevel"/>
    <w:tmpl w:val="F74E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E2B0F"/>
    <w:multiLevelType w:val="multilevel"/>
    <w:tmpl w:val="51B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73164">
    <w:abstractNumId w:val="1"/>
  </w:num>
  <w:num w:numId="2" w16cid:durableId="171259481">
    <w:abstractNumId w:val="6"/>
  </w:num>
  <w:num w:numId="3" w16cid:durableId="16465050">
    <w:abstractNumId w:val="9"/>
  </w:num>
  <w:num w:numId="4" w16cid:durableId="1047872317">
    <w:abstractNumId w:val="3"/>
  </w:num>
  <w:num w:numId="5" w16cid:durableId="1405298050">
    <w:abstractNumId w:val="5"/>
  </w:num>
  <w:num w:numId="6" w16cid:durableId="409233164">
    <w:abstractNumId w:val="2"/>
  </w:num>
  <w:num w:numId="7" w16cid:durableId="2068649263">
    <w:abstractNumId w:val="0"/>
  </w:num>
  <w:num w:numId="8" w16cid:durableId="1735661840">
    <w:abstractNumId w:val="8"/>
  </w:num>
  <w:num w:numId="9" w16cid:durableId="751438944">
    <w:abstractNumId w:val="4"/>
  </w:num>
  <w:num w:numId="10" w16cid:durableId="13028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6"/>
    <w:rsid w:val="00043376"/>
    <w:rsid w:val="00364014"/>
    <w:rsid w:val="003D4DD6"/>
    <w:rsid w:val="00F5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04E9"/>
  <w15:chartTrackingRefBased/>
  <w15:docId w15:val="{800AFA09-3E7A-4F1A-96D2-A8B42C0C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376"/>
    <w:rPr>
      <w:rFonts w:eastAsiaTheme="majorEastAsia" w:cstheme="majorBidi"/>
      <w:color w:val="272727" w:themeColor="text1" w:themeTint="D8"/>
    </w:rPr>
  </w:style>
  <w:style w:type="paragraph" w:styleId="Title">
    <w:name w:val="Title"/>
    <w:basedOn w:val="Normal"/>
    <w:next w:val="Normal"/>
    <w:link w:val="TitleChar"/>
    <w:uiPriority w:val="10"/>
    <w:qFormat/>
    <w:rsid w:val="0004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376"/>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6"/>
    <w:rPr>
      <w:i/>
      <w:iCs/>
      <w:color w:val="404040" w:themeColor="text1" w:themeTint="BF"/>
    </w:rPr>
  </w:style>
  <w:style w:type="paragraph" w:styleId="ListParagraph">
    <w:name w:val="List Paragraph"/>
    <w:basedOn w:val="Normal"/>
    <w:uiPriority w:val="34"/>
    <w:qFormat/>
    <w:rsid w:val="00043376"/>
    <w:pPr>
      <w:ind w:left="720"/>
      <w:contextualSpacing/>
    </w:pPr>
  </w:style>
  <w:style w:type="character" w:styleId="IntenseEmphasis">
    <w:name w:val="Intense Emphasis"/>
    <w:basedOn w:val="DefaultParagraphFont"/>
    <w:uiPriority w:val="21"/>
    <w:qFormat/>
    <w:rsid w:val="00043376"/>
    <w:rPr>
      <w:i/>
      <w:iCs/>
      <w:color w:val="0F4761" w:themeColor="accent1" w:themeShade="BF"/>
    </w:rPr>
  </w:style>
  <w:style w:type="paragraph" w:styleId="IntenseQuote">
    <w:name w:val="Intense Quote"/>
    <w:basedOn w:val="Normal"/>
    <w:next w:val="Normal"/>
    <w:link w:val="IntenseQuoteChar"/>
    <w:uiPriority w:val="30"/>
    <w:qFormat/>
    <w:rsid w:val="00043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376"/>
    <w:rPr>
      <w:i/>
      <w:iCs/>
      <w:color w:val="0F4761" w:themeColor="accent1" w:themeShade="BF"/>
    </w:rPr>
  </w:style>
  <w:style w:type="character" w:styleId="IntenseReference">
    <w:name w:val="Intense Reference"/>
    <w:basedOn w:val="DefaultParagraphFont"/>
    <w:uiPriority w:val="32"/>
    <w:qFormat/>
    <w:rsid w:val="00043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4918</Characters>
  <Application>Microsoft Office Word</Application>
  <DocSecurity>0</DocSecurity>
  <Lines>136</Lines>
  <Paragraphs>63</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Valerio</dc:creator>
  <cp:keywords/>
  <dc:description/>
  <cp:lastModifiedBy>Sherwin Valerio</cp:lastModifiedBy>
  <cp:revision>1</cp:revision>
  <dcterms:created xsi:type="dcterms:W3CDTF">2025-11-25T21:33:00Z</dcterms:created>
  <dcterms:modified xsi:type="dcterms:W3CDTF">2025-11-25T21:37:00Z</dcterms:modified>
</cp:coreProperties>
</file>