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F784" w14:textId="12949C2A" w:rsidR="000D6A6C" w:rsidRDefault="000D6A6C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A37BEF6" wp14:editId="0B238ED4">
            <wp:simplePos x="0" y="0"/>
            <wp:positionH relativeFrom="column">
              <wp:posOffset>-138988</wp:posOffset>
            </wp:positionH>
            <wp:positionV relativeFrom="paragraph">
              <wp:posOffset>-81153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77777777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4CC15056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o: </w:t>
      </w:r>
      <w:r w:rsidRPr="00D216A4">
        <w:rPr>
          <w:sz w:val="24"/>
          <w:szCs w:val="24"/>
        </w:rPr>
        <w:tab/>
      </w:r>
      <w:r w:rsidR="00911D27" w:rsidRPr="00911D27">
        <w:rPr>
          <w:sz w:val="24"/>
          <w:szCs w:val="24"/>
        </w:rPr>
        <w:t>Real</w:t>
      </w:r>
      <w:r w:rsidR="00911D27">
        <w:rPr>
          <w:sz w:val="24"/>
          <w:szCs w:val="24"/>
        </w:rPr>
        <w:t xml:space="preserve"> Estate </w:t>
      </w:r>
      <w:r w:rsidR="004137F8">
        <w:rPr>
          <w:sz w:val="24"/>
          <w:szCs w:val="24"/>
        </w:rPr>
        <w:t>Network</w:t>
      </w:r>
      <w:r w:rsidR="00911D27">
        <w:rPr>
          <w:sz w:val="24"/>
          <w:szCs w:val="24"/>
        </w:rPr>
        <w:t xml:space="preserve"> Leadership</w:t>
      </w:r>
    </w:p>
    <w:p w14:paraId="44ED8517" w14:textId="6C64A986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From: </w:t>
      </w:r>
      <w:r w:rsidRPr="00D216A4">
        <w:rPr>
          <w:sz w:val="24"/>
          <w:szCs w:val="24"/>
        </w:rPr>
        <w:tab/>
      </w:r>
      <w:r w:rsidR="00FF03FC">
        <w:rPr>
          <w:sz w:val="24"/>
          <w:szCs w:val="24"/>
        </w:rPr>
        <w:t>Nicholas Moses</w:t>
      </w:r>
      <w:r w:rsidR="00A24490">
        <w:rPr>
          <w:sz w:val="24"/>
          <w:szCs w:val="24"/>
        </w:rPr>
        <w:t xml:space="preserve">, </w:t>
      </w:r>
      <w:r w:rsidR="004137F8">
        <w:rPr>
          <w:sz w:val="24"/>
          <w:szCs w:val="24"/>
        </w:rPr>
        <w:t>Network</w:t>
      </w:r>
      <w:r w:rsidR="00A24490">
        <w:rPr>
          <w:sz w:val="24"/>
          <w:szCs w:val="24"/>
        </w:rPr>
        <w:t>s Manager</w:t>
      </w:r>
    </w:p>
    <w:p w14:paraId="6717977F" w14:textId="3F4A3759" w:rsidR="00402105" w:rsidRPr="00D216A4" w:rsidRDefault="00EB7F7E" w:rsidP="30BDE234">
      <w:pPr>
        <w:pStyle w:val="MessageHeader"/>
        <w:ind w:left="0" w:firstLine="0"/>
        <w:rPr>
          <w:sz w:val="24"/>
          <w:szCs w:val="24"/>
          <w:highlight w:val="yellow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Date: </w:t>
      </w:r>
      <w:r w:rsidR="00495EC2">
        <w:rPr>
          <w:rStyle w:val="MessageHeaderLabel"/>
          <w:rFonts w:ascii="Arial" w:hAnsi="Arial"/>
          <w:sz w:val="24"/>
          <w:szCs w:val="24"/>
        </w:rPr>
        <w:t xml:space="preserve">   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December </w:t>
      </w:r>
      <w:r w:rsidR="00495EC2">
        <w:rPr>
          <w:rStyle w:val="MessageHeaderLabel"/>
          <w:rFonts w:ascii="Arial" w:hAnsi="Arial"/>
          <w:sz w:val="24"/>
          <w:szCs w:val="24"/>
        </w:rPr>
        <w:t>9</w:t>
      </w:r>
      <w:r w:rsidRPr="00D216A4">
        <w:rPr>
          <w:rStyle w:val="MessageHeaderLabel"/>
          <w:rFonts w:ascii="Arial" w:hAnsi="Arial"/>
          <w:sz w:val="24"/>
          <w:szCs w:val="24"/>
        </w:rPr>
        <w:t>, 2020</w:t>
      </w:r>
      <w:r w:rsidRPr="00D216A4">
        <w:rPr>
          <w:sz w:val="24"/>
          <w:szCs w:val="24"/>
        </w:rPr>
        <w:tab/>
      </w:r>
    </w:p>
    <w:p w14:paraId="0F1BE2AB" w14:textId="6126CE5D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Re: </w:t>
      </w:r>
      <w:r w:rsidRPr="00D216A4">
        <w:rPr>
          <w:sz w:val="24"/>
          <w:szCs w:val="24"/>
        </w:rPr>
        <w:tab/>
      </w:r>
      <w:r w:rsidR="00973EC1">
        <w:rPr>
          <w:sz w:val="24"/>
          <w:szCs w:val="24"/>
        </w:rPr>
        <w:t>20</w:t>
      </w:r>
      <w:r w:rsidR="007C6A07">
        <w:rPr>
          <w:sz w:val="24"/>
          <w:szCs w:val="24"/>
        </w:rPr>
        <w:t>2</w:t>
      </w:r>
      <w:r w:rsidR="00FF03FC">
        <w:rPr>
          <w:sz w:val="24"/>
          <w:szCs w:val="24"/>
        </w:rPr>
        <w:t>1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592184FA" w14:textId="77777777" w:rsidR="00495EC2" w:rsidRDefault="00495EC2" w:rsidP="00495EC2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3D8CEBF3" w14:textId="21D68BCB" w:rsidR="30BDE234" w:rsidRDefault="30BDE234" w:rsidP="30BDE234">
      <w:pPr>
        <w:pStyle w:val="BodyText"/>
        <w:spacing w:before="66" w:line="237" w:lineRule="auto"/>
        <w:ind w:left="0" w:right="214"/>
        <w:rPr>
          <w:sz w:val="24"/>
          <w:szCs w:val="24"/>
        </w:rPr>
      </w:pPr>
    </w:p>
    <w:p w14:paraId="65AAF663" w14:textId="730A0AE0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FF03FC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FF03FC">
        <w:rPr>
          <w:caps/>
          <w:sz w:val="24"/>
          <w:szCs w:val="24"/>
        </w:rPr>
        <w:t>20</w:t>
      </w:r>
      <w:r w:rsidR="007F7CB9">
        <w:rPr>
          <w:caps/>
          <w:sz w:val="24"/>
          <w:szCs w:val="24"/>
        </w:rPr>
        <w:t xml:space="preserve"> Annual Meeting REAL </w:t>
      </w:r>
      <w:r w:rsidR="007F7CB9" w:rsidRPr="007F7CB9">
        <w:rPr>
          <w:caps/>
          <w:sz w:val="24"/>
          <w:szCs w:val="24"/>
        </w:rPr>
        <w:t xml:space="preserve">ESTATE </w:t>
      </w:r>
      <w:r w:rsidR="004137F8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Session </w:t>
      </w:r>
      <w:r w:rsidR="006444FC">
        <w:rPr>
          <w:caps/>
          <w:sz w:val="24"/>
          <w:szCs w:val="24"/>
        </w:rPr>
        <w:t>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332"/>
      </w:tblGrid>
      <w:tr w:rsidR="004A032E" w:rsidRPr="00D216A4" w14:paraId="38EF2B68" w14:textId="77777777" w:rsidTr="30BDE234">
        <w:tc>
          <w:tcPr>
            <w:tcW w:w="835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8AAE16" w14:textId="4A60F99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455C36" w14:textId="0552FFC7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</w:p>
        </w:tc>
      </w:tr>
      <w:tr w:rsidR="00FF03FC" w:rsidRPr="00D216A4" w14:paraId="7D983DFE" w14:textId="77777777" w:rsidTr="30BDE234">
        <w:tc>
          <w:tcPr>
            <w:tcW w:w="9691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2EF3385" w14:textId="7FD78857" w:rsidR="00FF03FC" w:rsidRPr="00EF3537" w:rsidRDefault="30BDE234" w:rsidP="30BDE234">
            <w:pPr>
              <w:pStyle w:val="BodyText"/>
              <w:ind w:left="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30BDE234"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</w:tr>
      <w:tr w:rsidR="00FF03FC" w:rsidRPr="00D216A4" w14:paraId="16B68265" w14:textId="77777777" w:rsidTr="30BDE234">
        <w:trPr>
          <w:trHeight w:val="527"/>
        </w:trPr>
        <w:tc>
          <w:tcPr>
            <w:tcW w:w="8359" w:type="dxa"/>
            <w:shd w:val="clear" w:color="auto" w:fill="auto"/>
            <w:vAlign w:val="center"/>
          </w:tcPr>
          <w:p w14:paraId="708B0EE5" w14:textId="02830F03" w:rsidR="00FF03FC" w:rsidRPr="00BF6672" w:rsidRDefault="00BF6672" w:rsidP="00BF6672">
            <w:pPr>
              <w:rPr>
                <w:rFonts w:ascii="Arial" w:hAnsi="Arial" w:cs="Arial"/>
              </w:rPr>
            </w:pPr>
            <w:r w:rsidRPr="00BF6672">
              <w:rPr>
                <w:rFonts w:ascii="Arial" w:hAnsi="Arial" w:cs="Arial"/>
              </w:rPr>
              <w:t>Don't Get Nailed: Practical Guidance to Avoiding Pitfalls That Can Hammer You on Your Next Construction Project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48F40D1" w14:textId="30669FB5" w:rsidR="00FF03FC" w:rsidRPr="00EF3537" w:rsidRDefault="30BDE234" w:rsidP="30BDE234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30BDE234">
              <w:rPr>
                <w:rFonts w:cs="Arial"/>
                <w:sz w:val="24"/>
                <w:szCs w:val="24"/>
              </w:rPr>
              <w:t>104</w:t>
            </w:r>
          </w:p>
        </w:tc>
      </w:tr>
      <w:tr w:rsidR="00FF03FC" w:rsidRPr="00D216A4" w14:paraId="5FA2A00F" w14:textId="77777777" w:rsidTr="30BDE234">
        <w:trPr>
          <w:trHeight w:val="527"/>
        </w:trPr>
        <w:tc>
          <w:tcPr>
            <w:tcW w:w="8359" w:type="dxa"/>
            <w:shd w:val="clear" w:color="auto" w:fill="auto"/>
            <w:vAlign w:val="center"/>
          </w:tcPr>
          <w:p w14:paraId="38842572" w14:textId="6E2AFEEF" w:rsidR="00FF03FC" w:rsidRPr="00BF6672" w:rsidRDefault="00BF6672" w:rsidP="00BF6672">
            <w:pPr>
              <w:rPr>
                <w:rFonts w:ascii="Arial" w:hAnsi="Arial" w:cs="Arial"/>
              </w:rPr>
            </w:pPr>
            <w:r w:rsidRPr="00BF6672">
              <w:rPr>
                <w:rFonts w:ascii="Arial" w:hAnsi="Arial" w:cs="Arial"/>
              </w:rPr>
              <w:t>Real Estate Law for Non-Real Estate Lawyers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82A73A1" w14:textId="27B9A784" w:rsidR="00FF03FC" w:rsidRPr="00EF3537" w:rsidRDefault="30BDE234" w:rsidP="30BDE234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30BDE234">
              <w:rPr>
                <w:rFonts w:cs="Arial"/>
                <w:sz w:val="24"/>
                <w:szCs w:val="24"/>
              </w:rPr>
              <w:t>215</w:t>
            </w:r>
          </w:p>
        </w:tc>
      </w:tr>
      <w:tr w:rsidR="00FF03FC" w:rsidRPr="00BF6672" w14:paraId="34E5B460" w14:textId="77777777" w:rsidTr="30BDE234">
        <w:trPr>
          <w:trHeight w:val="527"/>
        </w:trPr>
        <w:tc>
          <w:tcPr>
            <w:tcW w:w="8359" w:type="dxa"/>
            <w:shd w:val="clear" w:color="auto" w:fill="auto"/>
            <w:vAlign w:val="center"/>
          </w:tcPr>
          <w:p w14:paraId="6CC1130C" w14:textId="0E2CF7CC" w:rsidR="00FF03FC" w:rsidRPr="00BF6672" w:rsidRDefault="00BF6672" w:rsidP="00BF6672">
            <w:pPr>
              <w:rPr>
                <w:rFonts w:ascii="Arial" w:hAnsi="Arial" w:cs="Arial"/>
              </w:rPr>
            </w:pPr>
            <w:r w:rsidRPr="00BF6672">
              <w:rPr>
                <w:rFonts w:ascii="Arial" w:hAnsi="Arial" w:cs="Arial"/>
              </w:rPr>
              <w:t>Advanced Leasing: Don't Get Snared 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E33E9B" w14:textId="0C9C8E75" w:rsidR="00FF03FC" w:rsidRPr="00BF6672" w:rsidRDefault="00BF6672" w:rsidP="00BF667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BF6672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F03FC" w:rsidRPr="00BF6672" w14:paraId="658A4850" w14:textId="77777777" w:rsidTr="30BDE234">
        <w:trPr>
          <w:trHeight w:val="527"/>
        </w:trPr>
        <w:tc>
          <w:tcPr>
            <w:tcW w:w="8359" w:type="dxa"/>
            <w:shd w:val="clear" w:color="auto" w:fill="auto"/>
            <w:vAlign w:val="center"/>
          </w:tcPr>
          <w:p w14:paraId="37C8A07D" w14:textId="4A4D2FBB" w:rsidR="00FF03FC" w:rsidRPr="00BF6672" w:rsidRDefault="00BF6672" w:rsidP="00BF6672">
            <w:pPr>
              <w:rPr>
                <w:rFonts w:ascii="Arial" w:hAnsi="Arial" w:cs="Arial"/>
              </w:rPr>
            </w:pPr>
            <w:r w:rsidRPr="00BF6672">
              <w:rPr>
                <w:rFonts w:ascii="Arial" w:hAnsi="Arial" w:cs="Arial"/>
              </w:rPr>
              <w:t>Getting to Yes (In My Backyard): Practical Guidance to Working Through NIMBY Resistance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B458849" w14:textId="11C7955B" w:rsidR="00FF03FC" w:rsidRPr="00BF6672" w:rsidRDefault="00BF6672" w:rsidP="00BF667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BF6672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EF3537" w:rsidRPr="00D216A4" w14:paraId="7270D3A1" w14:textId="77777777" w:rsidTr="30BDE234">
        <w:tc>
          <w:tcPr>
            <w:tcW w:w="9691" w:type="dxa"/>
            <w:gridSpan w:val="2"/>
            <w:shd w:val="clear" w:color="auto" w:fill="B3B3B3"/>
            <w:vAlign w:val="center"/>
          </w:tcPr>
          <w:p w14:paraId="21FC9870" w14:textId="05EFCC2C" w:rsidR="00EF3537" w:rsidRPr="00EF3537" w:rsidRDefault="00EF3537" w:rsidP="00F02DD5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F3537">
              <w:rPr>
                <w:rFonts w:cs="Arial"/>
                <w:b/>
                <w:sz w:val="24"/>
                <w:szCs w:val="24"/>
              </w:rPr>
              <w:t>2019</w:t>
            </w:r>
            <w:r w:rsidR="00FF03FC">
              <w:rPr>
                <w:rFonts w:cs="Arial"/>
                <w:b/>
                <w:sz w:val="24"/>
                <w:szCs w:val="24"/>
              </w:rPr>
              <w:t xml:space="preserve"> (Final attendance numbers)</w:t>
            </w:r>
          </w:p>
        </w:tc>
      </w:tr>
      <w:tr w:rsidR="00EF3537" w:rsidRPr="00D216A4" w14:paraId="7BA7BFE6" w14:textId="77777777" w:rsidTr="30BDE234">
        <w:tc>
          <w:tcPr>
            <w:tcW w:w="8359" w:type="dxa"/>
            <w:shd w:val="clear" w:color="auto" w:fill="auto"/>
            <w:vAlign w:val="center"/>
          </w:tcPr>
          <w:p w14:paraId="2D85559E" w14:textId="727A8CA4" w:rsidR="00EF3537" w:rsidRPr="00EF3537" w:rsidRDefault="00EF3537" w:rsidP="00F02DD5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Advanced Leasing: Global Problems with Local Solutions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F326709" w14:textId="50011E01" w:rsidR="00EF3537" w:rsidRPr="00EF3537" w:rsidRDefault="0048653D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</w:t>
            </w:r>
          </w:p>
        </w:tc>
      </w:tr>
      <w:tr w:rsidR="00EF3537" w:rsidRPr="00D216A4" w14:paraId="010E3153" w14:textId="77777777" w:rsidTr="30BDE234">
        <w:tc>
          <w:tcPr>
            <w:tcW w:w="8359" w:type="dxa"/>
            <w:shd w:val="clear" w:color="auto" w:fill="auto"/>
            <w:vAlign w:val="center"/>
          </w:tcPr>
          <w:p w14:paraId="6D79CFAA" w14:textId="67C32972" w:rsidR="00EF3537" w:rsidRPr="00EF3537" w:rsidRDefault="00EF3537" w:rsidP="00F02DD5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To Collocate or Not to Collocate? Changing Landscape and Current Trends of the Data Center Industry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520A95C" w14:textId="51CF4CE2" w:rsidR="00EF3537" w:rsidRPr="00EF3537" w:rsidRDefault="0048653D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160</w:t>
            </w:r>
          </w:p>
        </w:tc>
      </w:tr>
      <w:tr w:rsidR="00EF3537" w:rsidRPr="00D216A4" w14:paraId="42C2E16B" w14:textId="77777777" w:rsidTr="30BDE234">
        <w:tc>
          <w:tcPr>
            <w:tcW w:w="8359" w:type="dxa"/>
            <w:shd w:val="clear" w:color="auto" w:fill="auto"/>
            <w:vAlign w:val="center"/>
          </w:tcPr>
          <w:p w14:paraId="1886FD38" w14:textId="08C02D59" w:rsidR="00EF3537" w:rsidRPr="00EF3537" w:rsidRDefault="00EF3537" w:rsidP="00F02DD5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Mitigate Your Construction Risks: Top Ten Construction Contract Provisions to Review and Negotiate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DAD0C70" w14:textId="688C11C7" w:rsidR="00EF3537" w:rsidRPr="00EF3537" w:rsidRDefault="00EF3537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EF3537" w:rsidRPr="00D216A4" w14:paraId="56C98587" w14:textId="77777777" w:rsidTr="30BDE234">
        <w:tc>
          <w:tcPr>
            <w:tcW w:w="8359" w:type="dxa"/>
            <w:shd w:val="clear" w:color="auto" w:fill="auto"/>
            <w:vAlign w:val="center"/>
          </w:tcPr>
          <w:p w14:paraId="494E94F5" w14:textId="65F56D75" w:rsidR="00EF3537" w:rsidRPr="00EF3537" w:rsidRDefault="00EF3537" w:rsidP="00F02DD5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Navigating the Complexity of Healthcare Law on Real Estate Transactions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6B55D4F" w14:textId="34FFF3EB" w:rsidR="00EF3537" w:rsidRPr="00EF3537" w:rsidRDefault="00EF3537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EF3537" w:rsidRPr="00D216A4" w14:paraId="6126F2D4" w14:textId="77777777" w:rsidTr="30BDE234">
        <w:tc>
          <w:tcPr>
            <w:tcW w:w="9691" w:type="dxa"/>
            <w:gridSpan w:val="2"/>
            <w:shd w:val="clear" w:color="auto" w:fill="B3B3B3"/>
            <w:vAlign w:val="center"/>
          </w:tcPr>
          <w:p w14:paraId="17924327" w14:textId="4E668850" w:rsidR="00EF3537" w:rsidRPr="00EF3537" w:rsidRDefault="00EF3537" w:rsidP="006444F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F3537">
              <w:rPr>
                <w:rFonts w:cs="Arial"/>
                <w:b/>
                <w:sz w:val="24"/>
                <w:szCs w:val="24"/>
              </w:rPr>
              <w:t>201</w:t>
            </w:r>
            <w:r>
              <w:rPr>
                <w:rFonts w:cs="Arial"/>
                <w:b/>
                <w:sz w:val="24"/>
                <w:szCs w:val="24"/>
              </w:rPr>
              <w:t>8 (Final attendance numbers)</w:t>
            </w:r>
          </w:p>
        </w:tc>
      </w:tr>
      <w:tr w:rsidR="00B3284F" w:rsidRPr="00D216A4" w14:paraId="6F633C9E" w14:textId="77777777" w:rsidTr="30BDE234">
        <w:tc>
          <w:tcPr>
            <w:tcW w:w="8359" w:type="dxa"/>
            <w:shd w:val="clear" w:color="auto" w:fill="auto"/>
            <w:vAlign w:val="center"/>
          </w:tcPr>
          <w:p w14:paraId="2E3E89AE" w14:textId="093F5E2C" w:rsidR="00B3284F" w:rsidRPr="00EF3537" w:rsidRDefault="00B3284F" w:rsidP="00B3284F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lastRenderedPageBreak/>
              <w:t>Advanced Leasing in the Modern Age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034A9CF" w14:textId="46DF0489" w:rsidR="00B3284F" w:rsidRPr="00EF3537" w:rsidRDefault="00D0686D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EF3537">
              <w:rPr>
                <w:rFonts w:cs="Arial"/>
                <w:sz w:val="24"/>
                <w:szCs w:val="24"/>
              </w:rPr>
              <w:t>1</w:t>
            </w:r>
            <w:r w:rsidR="00A730D0">
              <w:rPr>
                <w:rFonts w:cs="Arial"/>
                <w:sz w:val="24"/>
                <w:szCs w:val="24"/>
              </w:rPr>
              <w:t>24</w:t>
            </w:r>
          </w:p>
        </w:tc>
      </w:tr>
      <w:tr w:rsidR="00B3284F" w:rsidRPr="00D216A4" w14:paraId="56033B97" w14:textId="77777777" w:rsidTr="30BDE234">
        <w:tc>
          <w:tcPr>
            <w:tcW w:w="8359" w:type="dxa"/>
            <w:shd w:val="clear" w:color="auto" w:fill="auto"/>
            <w:vAlign w:val="center"/>
          </w:tcPr>
          <w:p w14:paraId="4D19721C" w14:textId="5F0C7EB9" w:rsidR="00B3284F" w:rsidRPr="00EF3537" w:rsidRDefault="00B3284F" w:rsidP="00B3284F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High Anxiety: Real Estate and Environmental Considerations in Mergers and Acquisitions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43B679F" w14:textId="3BB25DD7" w:rsidR="00B3284F" w:rsidRPr="00EF3537" w:rsidRDefault="00A730D0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93</w:t>
            </w:r>
          </w:p>
        </w:tc>
      </w:tr>
      <w:tr w:rsidR="00B3284F" w:rsidRPr="00D216A4" w14:paraId="7299554C" w14:textId="77777777" w:rsidTr="30BDE234">
        <w:tc>
          <w:tcPr>
            <w:tcW w:w="8359" w:type="dxa"/>
            <w:shd w:val="clear" w:color="auto" w:fill="auto"/>
            <w:vAlign w:val="center"/>
          </w:tcPr>
          <w:p w14:paraId="55120139" w14:textId="7D6656A5" w:rsidR="00B3284F" w:rsidRPr="00EF3537" w:rsidRDefault="00B3284F" w:rsidP="00B3284F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Navigating the Complexity of Healthcare Law on Real Estate Transactions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C5BABB" w14:textId="0175B7A1" w:rsidR="00B3284F" w:rsidRPr="00EF3537" w:rsidRDefault="00B3284F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EF3537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3284F" w:rsidRPr="00D216A4" w14:paraId="1CFFD73C" w14:textId="77777777" w:rsidTr="30BDE234">
        <w:tc>
          <w:tcPr>
            <w:tcW w:w="8359" w:type="dxa"/>
            <w:shd w:val="clear" w:color="auto" w:fill="auto"/>
            <w:vAlign w:val="center"/>
          </w:tcPr>
          <w:p w14:paraId="7F6A3BBE" w14:textId="5A16F72B" w:rsidR="00B3284F" w:rsidRPr="00EF3537" w:rsidRDefault="00B3284F" w:rsidP="00B3284F">
            <w:pPr>
              <w:rPr>
                <w:rFonts w:ascii="Arial" w:hAnsi="Arial" w:cs="Arial"/>
              </w:rPr>
            </w:pPr>
            <w:r w:rsidRPr="00EF3537">
              <w:rPr>
                <w:rFonts w:ascii="Arial" w:hAnsi="Arial" w:cs="Arial"/>
              </w:rPr>
              <w:t>To Collocate or Not to Collocate? Changing Landscape and Current Trends of the Data Center Industry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982E109" w14:textId="1C123E8F" w:rsidR="00B3284F" w:rsidRPr="00EF3537" w:rsidRDefault="00B3284F" w:rsidP="00EF353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EF3537"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2954983D" w14:textId="77777777" w:rsidR="006B0464" w:rsidRPr="00D216A4" w:rsidRDefault="006B0464" w:rsidP="006B0464">
      <w:pPr>
        <w:pStyle w:val="BodyText"/>
        <w:ind w:left="0"/>
        <w:rPr>
          <w:sz w:val="24"/>
          <w:szCs w:val="24"/>
        </w:rPr>
      </w:pPr>
    </w:p>
    <w:p w14:paraId="1536BC37" w14:textId="069CBD2F" w:rsidR="00402105" w:rsidRPr="00C055D9" w:rsidRDefault="00B902B8" w:rsidP="00D7205D">
      <w:pPr>
        <w:pStyle w:val="Heading1"/>
        <w:ind w:left="0"/>
        <w:rPr>
          <w:caps/>
          <w:sz w:val="24"/>
          <w:szCs w:val="24"/>
        </w:rPr>
      </w:pPr>
      <w:r w:rsidRPr="00C055D9">
        <w:rPr>
          <w:caps/>
          <w:sz w:val="24"/>
          <w:szCs w:val="24"/>
        </w:rPr>
        <w:t>201</w:t>
      </w:r>
      <w:r w:rsidR="00FF61C4">
        <w:rPr>
          <w:caps/>
          <w:sz w:val="24"/>
          <w:szCs w:val="24"/>
        </w:rPr>
        <w:t>9</w:t>
      </w:r>
      <w:r w:rsidRPr="00C055D9">
        <w:rPr>
          <w:caps/>
          <w:sz w:val="24"/>
          <w:szCs w:val="24"/>
        </w:rPr>
        <w:t>-20</w:t>
      </w:r>
      <w:r w:rsidR="00FF61C4">
        <w:rPr>
          <w:caps/>
          <w:sz w:val="24"/>
          <w:szCs w:val="24"/>
        </w:rPr>
        <w:t>20</w:t>
      </w:r>
      <w:r w:rsidRPr="00C055D9">
        <w:rPr>
          <w:caps/>
          <w:sz w:val="24"/>
          <w:szCs w:val="24"/>
        </w:rPr>
        <w:t xml:space="preserve"> REAL ESTATE</w:t>
      </w:r>
      <w:r w:rsidR="00402105" w:rsidRPr="00C055D9">
        <w:rPr>
          <w:caps/>
          <w:sz w:val="24"/>
          <w:szCs w:val="24"/>
        </w:rPr>
        <w:t xml:space="preserve"> </w:t>
      </w:r>
      <w:r w:rsidR="004137F8">
        <w:rPr>
          <w:caps/>
          <w:sz w:val="24"/>
          <w:szCs w:val="24"/>
        </w:rPr>
        <w:t>Network</w:t>
      </w:r>
      <w:r w:rsidR="00402105" w:rsidRPr="00C055D9">
        <w:rPr>
          <w:caps/>
          <w:sz w:val="24"/>
          <w:szCs w:val="24"/>
        </w:rPr>
        <w:t xml:space="preserve"> Member Survey Suggested Topics</w:t>
      </w:r>
    </w:p>
    <w:p w14:paraId="56EAB32F" w14:textId="77777777" w:rsidR="00C055D9" w:rsidRPr="00333081" w:rsidRDefault="00C055D9" w:rsidP="00C055D9">
      <w:pPr>
        <w:pStyle w:val="BodyText"/>
        <w:ind w:left="0"/>
        <w:rPr>
          <w:sz w:val="24"/>
          <w:szCs w:val="24"/>
          <w:u w:val="single"/>
        </w:rPr>
      </w:pPr>
      <w:r w:rsidRPr="00333081">
        <w:rPr>
          <w:sz w:val="24"/>
          <w:szCs w:val="24"/>
          <w:u w:val="single"/>
        </w:rPr>
        <w:t>Most popular topics, in decreasing order:</w:t>
      </w:r>
    </w:p>
    <w:p w14:paraId="6FDF3D27" w14:textId="4AFCE569" w:rsidR="00402105" w:rsidRDefault="00333081" w:rsidP="00C055D9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Advanced I</w:t>
      </w:r>
      <w:r w:rsidRPr="00333081">
        <w:rPr>
          <w:sz w:val="24"/>
          <w:szCs w:val="24"/>
        </w:rPr>
        <w:t>ssues in Leasing</w:t>
      </w:r>
    </w:p>
    <w:p w14:paraId="3EAE1D2F" w14:textId="09E7298A" w:rsidR="00843AA5" w:rsidRDefault="00843AA5" w:rsidP="00843AA5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Subordination, Non-Disturbance and Attornment Agreements: Issues in “Standard” SNDA Forms</w:t>
      </w:r>
    </w:p>
    <w:p w14:paraId="04313F7F" w14:textId="63359F3E" w:rsidR="008B02EB" w:rsidRPr="008B02EB" w:rsidRDefault="008B02EB" w:rsidP="008B02EB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Zoning Primer for Corporate Counsel</w:t>
      </w:r>
    </w:p>
    <w:p w14:paraId="13CF3827" w14:textId="79413BAB" w:rsidR="00BE6F4A" w:rsidRPr="00BE6F4A" w:rsidRDefault="00BE6F4A" w:rsidP="00BE6F4A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Bankruptcy Issues for Real Estate Lawyers</w:t>
      </w:r>
    </w:p>
    <w:p w14:paraId="43D788F6" w14:textId="789F2135" w:rsidR="00843AA5" w:rsidRDefault="00BE6F4A" w:rsidP="00C055D9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Real Estate Joint Venture Agreements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Developer and Equity Side</w:t>
      </w:r>
    </w:p>
    <w:p w14:paraId="07B4AEA5" w14:textId="77777777" w:rsidR="00843AA5" w:rsidRDefault="00843AA5" w:rsidP="00843AA5">
      <w:pPr>
        <w:pStyle w:val="BodyText"/>
        <w:spacing w:after="0"/>
        <w:rPr>
          <w:sz w:val="24"/>
          <w:szCs w:val="24"/>
        </w:rPr>
      </w:pPr>
    </w:p>
    <w:p w14:paraId="49588FFE" w14:textId="21D05782" w:rsidR="00843AA5" w:rsidRDefault="00843AA5" w:rsidP="00843AA5">
      <w:pPr>
        <w:pStyle w:val="BodyText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Additional suggestions</w:t>
      </w:r>
      <w:r w:rsidRPr="00333081">
        <w:rPr>
          <w:sz w:val="24"/>
          <w:szCs w:val="24"/>
          <w:u w:val="single"/>
        </w:rPr>
        <w:t>:</w:t>
      </w:r>
    </w:p>
    <w:p w14:paraId="0613A6AF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Block Chain</w:t>
      </w:r>
    </w:p>
    <w:p w14:paraId="3AEE2C37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Advanced Leasing Tips</w:t>
      </w:r>
    </w:p>
    <w:p w14:paraId="5E230D00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Real Estate Forms</w:t>
      </w:r>
    </w:p>
    <w:p w14:paraId="01B69CBC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Mechanics liens</w:t>
      </w:r>
    </w:p>
    <w:p w14:paraId="55A782B5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Tax Increment Financing</w:t>
      </w:r>
    </w:p>
    <w:p w14:paraId="164E2C41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Multifamily mortgage servicing</w:t>
      </w:r>
    </w:p>
    <w:p w14:paraId="50048391" w14:textId="77777777" w:rsidR="00495EC2" w:rsidRDefault="00495EC2" w:rsidP="00495EC2">
      <w:pPr>
        <w:pStyle w:val="ListParagraph"/>
        <w:numPr>
          <w:ilvl w:val="0"/>
          <w:numId w:val="15"/>
        </w:numPr>
        <w:ind w:right="77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Leasing from the Tenant perspective</w:t>
      </w:r>
    </w:p>
    <w:p w14:paraId="50B9E1AE" w14:textId="5838363A" w:rsidR="00495EC2" w:rsidRPr="00333081" w:rsidRDefault="00495EC2" w:rsidP="00495EC2">
      <w:pPr>
        <w:pStyle w:val="BodyText"/>
        <w:numPr>
          <w:ilvl w:val="0"/>
          <w:numId w:val="15"/>
        </w:numPr>
        <w:rPr>
          <w:sz w:val="24"/>
          <w:szCs w:val="24"/>
          <w:u w:val="single"/>
        </w:rPr>
      </w:pPr>
      <w:r>
        <w:rPr>
          <w:rFonts w:cs="Arial"/>
          <w:spacing w:val="0"/>
          <w:sz w:val="24"/>
          <w:szCs w:val="24"/>
        </w:rPr>
        <w:t>1031 Exchange changes and pitfalls</w:t>
      </w:r>
    </w:p>
    <w:p w14:paraId="399CA451" w14:textId="77777777" w:rsidR="00843AA5" w:rsidRDefault="00843AA5" w:rsidP="00843AA5">
      <w:pPr>
        <w:pStyle w:val="BodyText"/>
        <w:spacing w:after="0"/>
        <w:rPr>
          <w:sz w:val="24"/>
          <w:szCs w:val="24"/>
        </w:rPr>
      </w:pPr>
    </w:p>
    <w:p w14:paraId="14D6E9EB" w14:textId="77777777" w:rsidR="00C055D9" w:rsidRDefault="00C055D9" w:rsidP="00495EC2">
      <w:pPr>
        <w:pStyle w:val="BodyText"/>
        <w:spacing w:after="0"/>
        <w:ind w:left="0"/>
        <w:rPr>
          <w:sz w:val="24"/>
          <w:szCs w:val="24"/>
        </w:rPr>
      </w:pPr>
    </w:p>
    <w:p w14:paraId="1E818164" w14:textId="77777777" w:rsidR="00843AA5" w:rsidRDefault="00843AA5" w:rsidP="00C055D9">
      <w:pPr>
        <w:pStyle w:val="BodyText"/>
        <w:spacing w:after="0"/>
        <w:rPr>
          <w:sz w:val="24"/>
          <w:szCs w:val="24"/>
          <w:highlight w:val="green"/>
        </w:rPr>
      </w:pPr>
    </w:p>
    <w:p w14:paraId="03D055D2" w14:textId="12995C05" w:rsidR="00402105" w:rsidRPr="00D216A4" w:rsidRDefault="00402105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FF61C4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FF61C4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</w:t>
      </w:r>
      <w:r w:rsidR="0089527E">
        <w:rPr>
          <w:caps/>
          <w:sz w:val="24"/>
          <w:szCs w:val="24"/>
        </w:rPr>
        <w:t xml:space="preserve">REAL </w:t>
      </w:r>
      <w:r w:rsidR="0089527E" w:rsidRPr="007F7CB9">
        <w:rPr>
          <w:caps/>
          <w:sz w:val="24"/>
          <w:szCs w:val="24"/>
        </w:rPr>
        <w:t xml:space="preserve">ESTATE </w:t>
      </w:r>
      <w:r w:rsidR="004137F8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</w:t>
      </w:r>
      <w:r w:rsidR="00982E90">
        <w:rPr>
          <w:caps/>
          <w:sz w:val="24"/>
          <w:szCs w:val="24"/>
        </w:rPr>
        <w:t>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07A3B1D4" w14:textId="77777777" w:rsidR="00C055D9" w:rsidRPr="00A24490" w:rsidRDefault="00C055D9" w:rsidP="00C055D9">
      <w:pPr>
        <w:pStyle w:val="BodyText"/>
        <w:ind w:left="0"/>
        <w:rPr>
          <w:sz w:val="24"/>
          <w:szCs w:val="24"/>
        </w:rPr>
      </w:pPr>
      <w:r w:rsidRPr="00A24490">
        <w:rPr>
          <w:sz w:val="24"/>
          <w:szCs w:val="24"/>
          <w:u w:val="single"/>
        </w:rPr>
        <w:t>APAC Call</w:t>
      </w:r>
      <w:r w:rsidRPr="00A24490">
        <w:rPr>
          <w:sz w:val="24"/>
          <w:szCs w:val="24"/>
        </w:rPr>
        <w:t xml:space="preserve"> (APAC) – One-hour live presentations on the latest legal trends affecting organizations in the Asia-Pacific region and multinational companies. Available live or on-demand through the ACC Education Archive. CLE/CPD credit available for a fee.</w:t>
      </w:r>
    </w:p>
    <w:p w14:paraId="2DE9CB30" w14:textId="77777777" w:rsidR="00C055D9" w:rsidRPr="00A24490" w:rsidRDefault="00C055D9" w:rsidP="00C055D9">
      <w:pPr>
        <w:pStyle w:val="BodyText"/>
        <w:ind w:left="0"/>
        <w:rPr>
          <w:sz w:val="24"/>
          <w:szCs w:val="24"/>
        </w:rPr>
      </w:pPr>
      <w:r w:rsidRPr="00A24490">
        <w:rPr>
          <w:sz w:val="24"/>
          <w:szCs w:val="24"/>
          <w:u w:val="single"/>
        </w:rPr>
        <w:t xml:space="preserve">EMEA Call (EMEA) </w:t>
      </w:r>
      <w:r w:rsidRPr="00A24490">
        <w:rPr>
          <w:sz w:val="24"/>
          <w:szCs w:val="24"/>
        </w:rPr>
        <w:t>– Thirty-minute-</w:t>
      </w:r>
      <w:proofErr w:type="gramStart"/>
      <w:r w:rsidRPr="00A24490">
        <w:rPr>
          <w:sz w:val="24"/>
          <w:szCs w:val="24"/>
        </w:rPr>
        <w:t>one hour</w:t>
      </w:r>
      <w:proofErr w:type="gramEnd"/>
      <w:r w:rsidRPr="00A24490">
        <w:rPr>
          <w:sz w:val="24"/>
          <w:szCs w:val="24"/>
        </w:rPr>
        <w:t xml:space="preserve"> live presentations on the latest legal trends affecting organizations in Europe, Africa, and/or the Middle East and multinational companies. Available live or on-demand through the ACC Education Archive. No CLE/CPD credit available.</w:t>
      </w:r>
    </w:p>
    <w:p w14:paraId="7D24BA9D" w14:textId="0E094A30" w:rsidR="00C055D9" w:rsidRPr="00A24490" w:rsidRDefault="00C055D9" w:rsidP="00C055D9">
      <w:pPr>
        <w:pStyle w:val="BodyText"/>
        <w:ind w:left="0"/>
        <w:rPr>
          <w:sz w:val="24"/>
          <w:szCs w:val="24"/>
        </w:rPr>
      </w:pPr>
      <w:r w:rsidRPr="00A24490">
        <w:rPr>
          <w:sz w:val="24"/>
          <w:szCs w:val="24"/>
          <w:u w:val="single"/>
        </w:rPr>
        <w:lastRenderedPageBreak/>
        <w:t>Legal Quick Hit (LQH)</w:t>
      </w:r>
      <w:r w:rsidR="00FF6C6E" w:rsidRPr="00A24490">
        <w:rPr>
          <w:sz w:val="24"/>
          <w:szCs w:val="24"/>
        </w:rPr>
        <w:t xml:space="preserve"> – Short (20 to 45</w:t>
      </w:r>
      <w:r w:rsidRPr="00A24490">
        <w:rPr>
          <w:sz w:val="24"/>
          <w:szCs w:val="24"/>
        </w:rPr>
        <w:t xml:space="preserve">-minute) presentations on the latest legal trends made on the monthly </w:t>
      </w:r>
      <w:r w:rsidR="004137F8">
        <w:rPr>
          <w:sz w:val="24"/>
          <w:szCs w:val="24"/>
        </w:rPr>
        <w:t>Network</w:t>
      </w:r>
      <w:r w:rsidRPr="00A24490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0518127F" w14:textId="77777777" w:rsidR="00C055D9" w:rsidRPr="00A24490" w:rsidRDefault="00C055D9" w:rsidP="00C055D9">
      <w:pPr>
        <w:pStyle w:val="BodyText"/>
        <w:ind w:left="0"/>
        <w:rPr>
          <w:sz w:val="24"/>
          <w:szCs w:val="24"/>
        </w:rPr>
      </w:pPr>
      <w:r w:rsidRPr="00A24490">
        <w:rPr>
          <w:sz w:val="24"/>
          <w:szCs w:val="24"/>
          <w:u w:val="single"/>
        </w:rPr>
        <w:t>Roundtable Discussion (R)</w:t>
      </w:r>
      <w:r w:rsidRPr="00A24490">
        <w:rPr>
          <w:sz w:val="24"/>
          <w:szCs w:val="24"/>
        </w:rPr>
        <w:t xml:space="preserve"> – Thirty-minute-</w:t>
      </w:r>
      <w:proofErr w:type="gramStart"/>
      <w:r w:rsidRPr="00A24490">
        <w:rPr>
          <w:sz w:val="24"/>
          <w:szCs w:val="24"/>
        </w:rPr>
        <w:t>one hour</w:t>
      </w:r>
      <w:proofErr w:type="gramEnd"/>
      <w:r w:rsidRPr="00A24490">
        <w:rPr>
          <w:sz w:val="24"/>
          <w:szCs w:val="24"/>
        </w:rPr>
        <w:t xml:space="preserve"> live presentations on the latest legal trends featuring an interactive discussion between two or more industry or topic area experts. Available live or on-demand through the ACC Education Archive. No CLE/CPD credit available.</w:t>
      </w:r>
    </w:p>
    <w:p w14:paraId="0BFCCBEA" w14:textId="77777777" w:rsidR="002105AA" w:rsidRDefault="00C055D9" w:rsidP="00C055D9">
      <w:pPr>
        <w:pStyle w:val="BodyText"/>
        <w:ind w:left="0"/>
        <w:rPr>
          <w:sz w:val="24"/>
          <w:szCs w:val="24"/>
        </w:rPr>
      </w:pPr>
      <w:r w:rsidRPr="00A24490">
        <w:rPr>
          <w:sz w:val="24"/>
          <w:szCs w:val="24"/>
          <w:u w:val="single"/>
        </w:rPr>
        <w:t>Webcast (W)</w:t>
      </w:r>
      <w:r w:rsidRPr="00A24490">
        <w:rPr>
          <w:sz w:val="24"/>
          <w:szCs w:val="24"/>
        </w:rPr>
        <w:t xml:space="preserve"> – One-hour live presentations on the latest legal trends. Available live or on-demand through the ACC Education Arch</w:t>
      </w:r>
    </w:p>
    <w:p w14:paraId="078A568D" w14:textId="7C277C5D" w:rsidR="00C055D9" w:rsidRPr="00A24490" w:rsidRDefault="00C055D9" w:rsidP="00C055D9">
      <w:pPr>
        <w:pStyle w:val="BodyText"/>
        <w:ind w:left="0"/>
        <w:rPr>
          <w:sz w:val="24"/>
          <w:szCs w:val="24"/>
        </w:rPr>
      </w:pPr>
      <w:proofErr w:type="spellStart"/>
      <w:r w:rsidRPr="00A24490">
        <w:rPr>
          <w:sz w:val="24"/>
          <w:szCs w:val="24"/>
        </w:rPr>
        <w:t>ive</w:t>
      </w:r>
      <w:proofErr w:type="spellEnd"/>
      <w:r w:rsidRPr="00A24490">
        <w:rPr>
          <w:sz w:val="24"/>
          <w:szCs w:val="24"/>
        </w:rPr>
        <w:t>. CLE/CPD credit available for a fee.</w:t>
      </w:r>
    </w:p>
    <w:p w14:paraId="3FACE2CC" w14:textId="77777777" w:rsidR="009954D2" w:rsidRDefault="009954D2" w:rsidP="00C055D9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6546"/>
        <w:gridCol w:w="1000"/>
        <w:gridCol w:w="1084"/>
      </w:tblGrid>
      <w:tr w:rsidR="00C63EEF" w:rsidRPr="00B07859" w14:paraId="02F0F009" w14:textId="77777777" w:rsidTr="007C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ABF59" w14:textId="3C795833" w:rsidR="00365C11" w:rsidRPr="00B07859" w:rsidRDefault="00365C11" w:rsidP="0043149E">
            <w:pPr>
              <w:pStyle w:val="BodyText"/>
              <w:ind w:left="90"/>
              <w:rPr>
                <w:rFonts w:cs="Arial"/>
              </w:rPr>
            </w:pPr>
            <w:r w:rsidRPr="00B07859">
              <w:rPr>
                <w:rFonts w:cs="Arial"/>
              </w:rPr>
              <w:t>Date</w:t>
            </w:r>
          </w:p>
        </w:tc>
        <w:tc>
          <w:tcPr>
            <w:tcW w:w="0" w:type="auto"/>
          </w:tcPr>
          <w:p w14:paraId="697B774C" w14:textId="1639789E" w:rsidR="00365C11" w:rsidRPr="00B07859" w:rsidRDefault="00365C11" w:rsidP="0043149E">
            <w:pPr>
              <w:pStyle w:val="BodyText"/>
              <w:ind w:left="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07859">
              <w:rPr>
                <w:rFonts w:cs="Arial"/>
              </w:rPr>
              <w:t>Event Title</w:t>
            </w:r>
          </w:p>
        </w:tc>
        <w:tc>
          <w:tcPr>
            <w:tcW w:w="0" w:type="auto"/>
          </w:tcPr>
          <w:p w14:paraId="409C80C4" w14:textId="1737799E" w:rsidR="00365C11" w:rsidRPr="00B07859" w:rsidRDefault="00FF6C6E" w:rsidP="0043149E">
            <w:pPr>
              <w:pStyle w:val="BodyText"/>
              <w:ind w:left="-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07859">
              <w:rPr>
                <w:rFonts w:cs="Arial"/>
              </w:rPr>
              <w:t>Event Type</w:t>
            </w:r>
          </w:p>
        </w:tc>
        <w:tc>
          <w:tcPr>
            <w:tcW w:w="0" w:type="auto"/>
          </w:tcPr>
          <w:p w14:paraId="4F04B718" w14:textId="47B84B66" w:rsidR="00365C11" w:rsidRPr="00B07859" w:rsidRDefault="00365C11" w:rsidP="0043149E">
            <w:pPr>
              <w:pStyle w:val="BodyText"/>
              <w:ind w:left="-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07859">
              <w:rPr>
                <w:rFonts w:cs="Arial"/>
              </w:rPr>
              <w:t>Attendees</w:t>
            </w:r>
          </w:p>
        </w:tc>
      </w:tr>
      <w:tr w:rsidR="00C63EEF" w:rsidRPr="00577E87" w14:paraId="163F0BF8" w14:textId="77777777" w:rsidTr="007C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3DB469" w14:textId="7AE00748" w:rsidR="00C63EEF" w:rsidRDefault="00C63EEF" w:rsidP="0043149E">
            <w:pPr>
              <w:pStyle w:val="BodyText"/>
              <w:ind w:left="-90" w:firstLine="18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</w:t>
            </w:r>
            <w:r w:rsidR="002B2019">
              <w:rPr>
                <w:rFonts w:cs="Arial"/>
                <w:color w:val="000000"/>
              </w:rPr>
              <w:t>8</w:t>
            </w:r>
            <w:r>
              <w:rPr>
                <w:rFonts w:cs="Arial"/>
                <w:color w:val="000000"/>
              </w:rPr>
              <w:t>-20</w:t>
            </w:r>
            <w:r w:rsidR="002B2019">
              <w:rPr>
                <w:rFonts w:cs="Arial"/>
                <w:color w:val="000000"/>
              </w:rPr>
              <w:t>20</w:t>
            </w:r>
          </w:p>
        </w:tc>
      </w:tr>
      <w:tr w:rsidR="006376D8" w:rsidRPr="00577E87" w14:paraId="27E85088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DB89" w14:textId="47DA709B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C4D9" w14:textId="221ED1A3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 xml:space="preserve">Co-Sponsored LQH with Women in the House </w:t>
            </w: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br/>
            </w:r>
            <w:r w:rsidRPr="006376D8">
              <w:rPr>
                <w:rFonts w:cs="Arial"/>
                <w:color w:val="000000"/>
              </w:rPr>
              <w:t>The Whole is Greater Than the Sum of Its Parts: Recruiting Tips for Maintaining a Culture of Belonging &amp; Inclusion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ADDF" w14:textId="135D2033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2A37" w14:textId="76A91107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6376D8" w:rsidRPr="00577E87" w14:paraId="3EA0EC18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2F00" w14:textId="4EFF24D7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D250" w14:textId="2D352A24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404040" w:themeColor="text1" w:themeTint="BF"/>
              </w:rPr>
              <w:t xml:space="preserve">Co-Sponsored LQH with Women in the House </w:t>
            </w: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br/>
            </w:r>
            <w:r w:rsidRPr="006376D8">
              <w:rPr>
                <w:rFonts w:cs="Arial"/>
                <w:color w:val="000000"/>
              </w:rPr>
              <w:t>Leading Through Crisis - What 2020 Has Taught Us So Far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338E" w14:textId="6B9E7F57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0CF63" w14:textId="3A882BC2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376D8" w:rsidRPr="00577E87" w14:paraId="06699E31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3A79" w14:textId="150394C2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6010E" w14:textId="643E346D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>Co-sponsored LQH with Women in the House</w:t>
            </w:r>
            <w:r w:rsidRPr="006376D8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6376D8">
              <w:rPr>
                <w:rFonts w:cs="Arial"/>
                <w:color w:val="000000"/>
              </w:rPr>
              <w:t>Enhance Diversity &amp; Inclusion in your Legal Department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372C4" w14:textId="408EDAB2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6ACA2" w14:textId="4368B5BB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6376D8" w:rsidRPr="00577E87" w14:paraId="757F3AFE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8163" w14:textId="2310A353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86A9" w14:textId="50565934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404040" w:themeColor="text1" w:themeTint="BF"/>
              </w:rPr>
              <w:t>Co-sponsored LQH with Financial Services &amp; Women in the House</w:t>
            </w:r>
            <w:r w:rsidRPr="006376D8">
              <w:rPr>
                <w:rFonts w:cs="Arial"/>
                <w:color w:val="000000"/>
              </w:rPr>
              <w:br/>
              <w:t>The Return to 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D71D" w14:textId="1BA9069F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4594" w14:textId="3E6FB65D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6376D8" w:rsidRPr="00577E87" w14:paraId="6117D6C2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289F" w14:textId="5EB3D4E4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E2977" w14:textId="33FB1721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color w:val="000000"/>
              </w:rPr>
              <w:t>What You Need to Know: COVID-19’s Implications for Businesses with Real Estate Concerns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7B91" w14:textId="42B320D5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65280" w14:textId="6CFF6F08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6376D8" w:rsidRPr="00577E87" w14:paraId="7C94FF06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6BDA5" w14:textId="1E537614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55BC" w14:textId="02E58D99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404040" w:themeColor="text1" w:themeTint="BF"/>
              </w:rPr>
              <w:t>Co-sponsored LQH with Financial Services &amp; Women in the House</w:t>
            </w:r>
            <w:r w:rsidRPr="006376D8">
              <w:rPr>
                <w:rFonts w:cs="Arial"/>
                <w:color w:val="000000"/>
              </w:rPr>
              <w:br/>
              <w:t>How Boards are Navigating the Coronavirus (COVID 19) Pandemic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3CB44" w14:textId="3B75E021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AB80" w14:textId="342418A6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6376D8" w:rsidRPr="00577E87" w14:paraId="57D512C6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8BDA" w14:textId="67D26DCC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2202" w14:textId="0ECB0E9E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>Co-sponsored LQH with Sports &amp; Entertainment</w:t>
            </w: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br/>
            </w:r>
            <w:r w:rsidRPr="006376D8">
              <w:rPr>
                <w:rFonts w:cs="Arial"/>
                <w:color w:val="000000"/>
              </w:rPr>
              <w:t>The Impact of the Coronavirus (COVID-19) on Security and the Future of Safeguarding Large Public Events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76B49" w14:textId="1EFC7F45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B114" w14:textId="57AB3290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6376D8" w:rsidRPr="00577E87" w14:paraId="27220210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D63FA" w14:textId="5DBF9680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6495" w14:textId="19FDA4B0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404040" w:themeColor="text1" w:themeTint="BF"/>
              </w:rPr>
              <w:t>Co-sponsored LQH with Financial Services</w:t>
            </w:r>
            <w:r w:rsidRPr="006376D8">
              <w:rPr>
                <w:rFonts w:cs="Arial"/>
                <w:i/>
                <w:iCs/>
                <w:color w:val="000000" w:themeColor="text1"/>
              </w:rPr>
              <w:br/>
            </w:r>
            <w:r w:rsidRPr="006376D8">
              <w:rPr>
                <w:rFonts w:cs="Arial"/>
                <w:color w:val="000000"/>
              </w:rPr>
              <w:t>Confronting COVID-19:  What Every Employer Needs to Know Right 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7E39" w14:textId="32A3B4E7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1F3C" w14:textId="4D5FC7E7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6376D8" w:rsidRPr="00577E87" w14:paraId="4FA7FBAB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5DB4E" w14:textId="6E84B56B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B2D39" w14:textId="7430B52A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>Co-sponsored LQH with Environmental &amp; Sustainability</w:t>
            </w:r>
            <w:r w:rsidRPr="006376D8">
              <w:rPr>
                <w:rFonts w:cs="Arial"/>
                <w:color w:val="000000"/>
              </w:rPr>
              <w:br/>
              <w:t>NYC's Climate Mobilization Act: Coming Soon to Jurisdiction Near You?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9277" w14:textId="0BA310A9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9FE5" w14:textId="09C2D560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6376D8" w:rsidRPr="00577E87" w14:paraId="270B38D1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A30A" w14:textId="12807D46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1/16/20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1A143" w14:textId="66529F26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color w:val="000000"/>
              </w:rPr>
              <w:t>Refinancing your Apartment Portfolio in 2020?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26BB" w14:textId="0AB061E7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D841" w14:textId="2BA8A061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376D8" w:rsidRPr="00577E87" w14:paraId="1678630E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5F7F" w14:textId="7F1D6B52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F8678" w14:textId="50345FF1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>Co-sponsored LQH with Financial Services &amp; Employment &amp; Labor Law</w:t>
            </w:r>
            <w:r w:rsidRPr="006376D8">
              <w:rPr>
                <w:rFonts w:cs="Arial"/>
                <w:color w:val="000000"/>
              </w:rPr>
              <w:br/>
              <w:t>The New Norm:  Employment Law Challenges and Changes for Employers in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682D5" w14:textId="10811C51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60C08" w14:textId="4427FA96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</w:tr>
      <w:tr w:rsidR="006376D8" w:rsidRPr="00577E87" w14:paraId="4A3754F0" w14:textId="77777777" w:rsidTr="006E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C2E4" w14:textId="4CC517F2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5E27" w14:textId="40347562" w:rsidR="006376D8" w:rsidRPr="007E0F43" w:rsidRDefault="006376D8" w:rsidP="006376D8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color w:val="000000"/>
              </w:rPr>
              <w:t>Real Estate Due Diligence Outside the United States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1AFEC" w14:textId="3787FB9B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BB96" w14:textId="76CC3C53" w:rsidR="006376D8" w:rsidRDefault="006376D8" w:rsidP="006376D8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376D8" w:rsidRPr="00577E87" w14:paraId="769D21DB" w14:textId="77777777" w:rsidTr="006E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6729" w14:textId="14334640" w:rsidR="006376D8" w:rsidRDefault="006376D8" w:rsidP="006376D8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5FEC" w14:textId="7B6624D7" w:rsidR="006376D8" w:rsidRPr="007E0F43" w:rsidRDefault="006376D8" w:rsidP="006376D8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376D8">
              <w:rPr>
                <w:rFonts w:cs="Arial"/>
                <w:i/>
                <w:iCs/>
                <w:color w:val="808080" w:themeColor="background1" w:themeShade="80"/>
              </w:rPr>
              <w:t xml:space="preserve">Co-sponsored LQH with </w:t>
            </w:r>
            <w:r>
              <w:rPr>
                <w:rFonts w:cs="Arial"/>
                <w:i/>
                <w:iCs/>
                <w:color w:val="808080" w:themeColor="background1" w:themeShade="80"/>
              </w:rPr>
              <w:t>Financial Services</w:t>
            </w:r>
            <w:r w:rsidRPr="006376D8">
              <w:rPr>
                <w:rFonts w:cs="Arial"/>
                <w:color w:val="000000"/>
              </w:rPr>
              <w:br/>
              <w:t>The Final Countdown to the Implementation of the California Consumer Privacy 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93E8" w14:textId="30D498C3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2DCF" w14:textId="66F54608" w:rsidR="006376D8" w:rsidRDefault="006376D8" w:rsidP="006376D8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7E0F43" w:rsidRPr="00577E87" w14:paraId="07F1CA0D" w14:textId="77777777" w:rsidTr="007C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8F3" w14:textId="7F5FD9B9" w:rsidR="007E0F43" w:rsidRDefault="007E0F43" w:rsidP="007C6A07">
            <w:pPr>
              <w:pStyle w:val="BodyText"/>
              <w:ind w:lef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9/19/2019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798" w14:textId="3E642144" w:rsidR="007E0F43" w:rsidRDefault="007E0F43" w:rsidP="007C6A07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7E0F43">
              <w:rPr>
                <w:rFonts w:cs="Arial"/>
                <w:color w:val="000000"/>
              </w:rPr>
              <w:t>The Top Ten Things Corporate Counsel Should Know About Insurance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73A" w14:textId="241E73F6" w:rsidR="007E0F43" w:rsidRDefault="007E0F43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112" w14:textId="0003D59B" w:rsidR="007E0F43" w:rsidRDefault="007E0F43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6A07" w:rsidRPr="00577E87" w14:paraId="5824689B" w14:textId="77777777" w:rsidTr="007C6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BC1" w14:textId="065980E8" w:rsidR="007C6A07" w:rsidRPr="0043149E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8/15/2019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09B" w14:textId="32B2EE18" w:rsidR="007C6A07" w:rsidRPr="00C63EEF" w:rsidRDefault="007C6A07" w:rsidP="007C6A07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Multi-family Finance - Current Pricing to Calabria and the FHFA, Along with Legal Issues to Consider Prior to Financing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DD1" w14:textId="1564CFD6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B6CB" w14:textId="3AD346A1" w:rsidR="007C6A07" w:rsidRPr="00C63EEF" w:rsidRDefault="007E0F43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7C6A07" w:rsidRPr="00577E87" w14:paraId="68E8B18C" w14:textId="77777777" w:rsidTr="007C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A81" w14:textId="48AD383B" w:rsidR="007C6A07" w:rsidRPr="0043149E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6/20/2019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251" w14:textId="38531B7B" w:rsidR="007C6A07" w:rsidRPr="00C63EEF" w:rsidRDefault="007C6A07" w:rsidP="007C6A07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Top 10 in Retail Leasing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B1D" w14:textId="675214AC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3F5" w14:textId="52F00644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6A07" w:rsidRPr="00577E87" w14:paraId="6F12D3D4" w14:textId="77777777" w:rsidTr="007C6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601" w14:textId="5D2D3B3D" w:rsidR="007C6A07" w:rsidRPr="0043149E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5/16/2019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EA7" w14:textId="2B467984" w:rsidR="007C6A07" w:rsidRPr="00C63EEF" w:rsidRDefault="007C6A07" w:rsidP="007C6A07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Equity Capital-Raising Options for Real Estate Sponsors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1C9" w14:textId="49B07513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30B" w14:textId="1188359E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6A07" w:rsidRPr="00577E87" w14:paraId="37E90232" w14:textId="77777777" w:rsidTr="007C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FD6" w14:textId="317DAE77" w:rsidR="007C6A07" w:rsidRPr="00C63EEF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4/18/2019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B94C" w14:textId="3D9ACA52" w:rsidR="007C6A07" w:rsidRPr="00C63EEF" w:rsidRDefault="007C6A07" w:rsidP="007C6A07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Commercial Leasing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94E" w14:textId="76508361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813" w14:textId="09CD070B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6A07" w:rsidRPr="00577E87" w14:paraId="5EDC99D4" w14:textId="77777777" w:rsidTr="007C6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DBD" w14:textId="1993EC91" w:rsidR="007C6A07" w:rsidRPr="00C63EEF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3/21/2019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C5DE" w14:textId="5AE739A9" w:rsidR="007C6A07" w:rsidRPr="00C63EEF" w:rsidRDefault="007C6A07" w:rsidP="007C6A07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Qualified Opportunity </w:t>
            </w:r>
            <w:proofErr w:type="gramStart"/>
            <w:r>
              <w:rPr>
                <w:rFonts w:cs="Arial"/>
                <w:color w:val="000000"/>
              </w:rPr>
              <w:t>Zones  –</w:t>
            </w:r>
            <w:proofErr w:type="gramEnd"/>
            <w:r>
              <w:rPr>
                <w:rFonts w:cs="Arial"/>
                <w:color w:val="000000"/>
              </w:rPr>
              <w:t xml:space="preserve"> An Overview for ACC’s Real Estate Professionals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961" w14:textId="739BF111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438" w14:textId="407C0FDD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6A07" w:rsidRPr="00577E87" w14:paraId="1D55C3C7" w14:textId="77777777" w:rsidTr="007C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FD7" w14:textId="72796055" w:rsidR="007C6A07" w:rsidRPr="00C63EEF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2/21/2019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F83" w14:textId="35718EEC" w:rsidR="007C6A07" w:rsidRPr="00C63EEF" w:rsidRDefault="007C6A07" w:rsidP="007C6A07">
            <w:pPr>
              <w:pStyle w:val="BodyText"/>
              <w:ind w:lef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Applying Legal Ops to Contracts: Using AI and Technology to Stop Contract Value Leakage and Monetize Your Contracts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759" w14:textId="6084B8E4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0C7" w14:textId="5EB5F5C4" w:rsidR="007C6A07" w:rsidRPr="00C63EEF" w:rsidRDefault="007C6A07" w:rsidP="007C6A07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6A07" w:rsidRPr="00577E87" w14:paraId="21768E6B" w14:textId="77777777" w:rsidTr="007C6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FCD" w14:textId="05A25279" w:rsidR="007C6A07" w:rsidRPr="00C63EEF" w:rsidRDefault="007C6A07" w:rsidP="007C6A07">
            <w:pPr>
              <w:pStyle w:val="BodyTex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color w:val="000000"/>
              </w:rPr>
              <w:t>1/17/2019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948" w14:textId="3F429F82" w:rsidR="007C6A07" w:rsidRPr="00C63EEF" w:rsidRDefault="007C6A07" w:rsidP="007C6A07">
            <w:pPr>
              <w:pStyle w:val="BodyText"/>
              <w:ind w:left="1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i/>
                <w:iCs/>
                <w:color w:val="757171"/>
              </w:rPr>
              <w:t>Co-sponsored LQH with Legal Ops Section</w:t>
            </w:r>
            <w:r>
              <w:rPr>
                <w:rFonts w:cs="Arial"/>
                <w:color w:val="000000"/>
              </w:rPr>
              <w:br/>
              <w:t>“No Mistletoe” and Other Workplace Holiday Party Employment Law Best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8E2" w14:textId="79EE16DD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68D4" w14:textId="3DF017EB" w:rsidR="007C6A07" w:rsidRPr="00C63EEF" w:rsidRDefault="007C6A07" w:rsidP="007C6A07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</w:tbl>
    <w:p w14:paraId="718133EE" w14:textId="56B2022C" w:rsidR="00954B66" w:rsidRDefault="00954B66" w:rsidP="00402105">
      <w:pPr>
        <w:pStyle w:val="BodyText"/>
        <w:ind w:left="0"/>
        <w:rPr>
          <w:sz w:val="24"/>
          <w:szCs w:val="24"/>
        </w:rPr>
      </w:pPr>
    </w:p>
    <w:p w14:paraId="060A3F3C" w14:textId="52288DD4" w:rsidR="00495EC2" w:rsidRDefault="00495EC2" w:rsidP="00402105">
      <w:pPr>
        <w:pStyle w:val="BodyText"/>
        <w:ind w:left="0"/>
        <w:rPr>
          <w:sz w:val="24"/>
          <w:szCs w:val="24"/>
        </w:rPr>
      </w:pPr>
    </w:p>
    <w:p w14:paraId="78D5DE38" w14:textId="3FBB133D" w:rsidR="00495EC2" w:rsidRDefault="00495EC2" w:rsidP="00402105">
      <w:pPr>
        <w:pStyle w:val="BodyText"/>
        <w:ind w:left="0"/>
        <w:rPr>
          <w:sz w:val="24"/>
          <w:szCs w:val="24"/>
        </w:rPr>
      </w:pPr>
    </w:p>
    <w:p w14:paraId="06DDDF9C" w14:textId="77777777" w:rsidR="00495EC2" w:rsidRPr="00D216A4" w:rsidRDefault="00495EC2" w:rsidP="00402105">
      <w:pPr>
        <w:pStyle w:val="BodyText"/>
        <w:ind w:left="0"/>
        <w:rPr>
          <w:sz w:val="24"/>
          <w:szCs w:val="24"/>
        </w:rPr>
      </w:pPr>
    </w:p>
    <w:p w14:paraId="5EC4077B" w14:textId="7F6E9810" w:rsidR="008B2548" w:rsidRDefault="00C63EEF" w:rsidP="008B2548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201</w:t>
      </w:r>
      <w:r w:rsidR="00EC34AD">
        <w:rPr>
          <w:caps/>
          <w:sz w:val="24"/>
          <w:szCs w:val="24"/>
        </w:rPr>
        <w:t>7</w:t>
      </w:r>
      <w:r>
        <w:rPr>
          <w:caps/>
          <w:sz w:val="24"/>
          <w:szCs w:val="24"/>
        </w:rPr>
        <w:t>-201</w:t>
      </w:r>
      <w:r w:rsidR="00EC34AD">
        <w:rPr>
          <w:caps/>
          <w:sz w:val="24"/>
          <w:szCs w:val="24"/>
        </w:rPr>
        <w:t>9</w:t>
      </w:r>
      <w:r w:rsidR="008B2548">
        <w:rPr>
          <w:caps/>
          <w:sz w:val="24"/>
          <w:szCs w:val="24"/>
        </w:rPr>
        <w:t xml:space="preserve"> </w:t>
      </w:r>
      <w:r w:rsidR="008B2548" w:rsidRPr="00023734">
        <w:rPr>
          <w:caps/>
          <w:sz w:val="24"/>
          <w:szCs w:val="24"/>
        </w:rPr>
        <w:t xml:space="preserve">Popular </w:t>
      </w:r>
      <w:r w:rsidR="008B2548">
        <w:rPr>
          <w:caps/>
          <w:sz w:val="24"/>
          <w:szCs w:val="24"/>
        </w:rPr>
        <w:t xml:space="preserve">Real Estate </w:t>
      </w:r>
      <w:r w:rsidR="004137F8">
        <w:rPr>
          <w:caps/>
          <w:sz w:val="24"/>
          <w:szCs w:val="24"/>
        </w:rPr>
        <w:t>Network</w:t>
      </w:r>
      <w:r w:rsidR="008B2548" w:rsidRPr="00023734">
        <w:rPr>
          <w:caps/>
          <w:sz w:val="24"/>
          <w:szCs w:val="24"/>
        </w:rPr>
        <w:t xml:space="preserve"> eGroup Discussion Topics</w:t>
      </w:r>
    </w:p>
    <w:p w14:paraId="2FB8C756" w14:textId="3B60FEAB" w:rsidR="008B2548" w:rsidRDefault="008B2548" w:rsidP="008B2548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(The topics below include all substantive </w:t>
      </w:r>
      <w:proofErr w:type="spellStart"/>
      <w:r>
        <w:rPr>
          <w:sz w:val="24"/>
          <w:szCs w:val="24"/>
        </w:rPr>
        <w:t>eGroup</w:t>
      </w:r>
      <w:proofErr w:type="spellEnd"/>
      <w:r>
        <w:rPr>
          <w:sz w:val="24"/>
          <w:szCs w:val="24"/>
        </w:rPr>
        <w:t xml:space="preserve"> disc</w:t>
      </w:r>
      <w:r w:rsidR="00E710D5">
        <w:rPr>
          <w:sz w:val="24"/>
          <w:szCs w:val="24"/>
        </w:rPr>
        <w:t>ussions during the period with 3</w:t>
      </w:r>
      <w:r>
        <w:rPr>
          <w:sz w:val="24"/>
          <w:szCs w:val="24"/>
        </w:rPr>
        <w:t xml:space="preserve"> or more replies)</w:t>
      </w:r>
    </w:p>
    <w:p w14:paraId="1316C0DD" w14:textId="77777777" w:rsidR="00495EC2" w:rsidRPr="008B2548" w:rsidRDefault="00495EC2" w:rsidP="008B2548">
      <w:pPr>
        <w:pStyle w:val="BodyText"/>
        <w:ind w:left="0"/>
      </w:pPr>
    </w:p>
    <w:tbl>
      <w:tblPr>
        <w:tblStyle w:val="MediumShading1"/>
        <w:tblW w:w="969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8329"/>
      </w:tblGrid>
      <w:tr w:rsidR="008B349E" w:rsidRPr="0029721A" w14:paraId="1A0AE476" w14:textId="77777777" w:rsidTr="008B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bottom w:val="single" w:sz="8" w:space="0" w:color="000000" w:themeColor="text1"/>
            </w:tcBorders>
            <w:vAlign w:val="center"/>
          </w:tcPr>
          <w:p w14:paraId="0870EBAE" w14:textId="6C3E285F" w:rsidR="008B349E" w:rsidRPr="00A24490" w:rsidRDefault="008B349E" w:rsidP="008B349E">
            <w:pPr>
              <w:pStyle w:val="BodyText"/>
              <w:ind w:left="0"/>
              <w:jc w:val="center"/>
              <w:rPr>
                <w:rFonts w:cs="Arial"/>
              </w:rPr>
            </w:pPr>
            <w:r w:rsidRPr="00A24490">
              <w:rPr>
                <w:rFonts w:cs="Arial"/>
              </w:rPr>
              <w:t>Date</w:t>
            </w:r>
          </w:p>
        </w:tc>
        <w:tc>
          <w:tcPr>
            <w:tcW w:w="8329" w:type="dxa"/>
            <w:tcBorders>
              <w:bottom w:val="single" w:sz="8" w:space="0" w:color="000000" w:themeColor="text1"/>
            </w:tcBorders>
            <w:vAlign w:val="center"/>
          </w:tcPr>
          <w:p w14:paraId="0B50138E" w14:textId="04CA23A6" w:rsidR="008B349E" w:rsidRPr="00A24490" w:rsidRDefault="008B349E" w:rsidP="008B349E">
            <w:pPr>
              <w:pStyle w:val="BodyText"/>
              <w:ind w:left="19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24490">
              <w:rPr>
                <w:rFonts w:cs="Arial"/>
              </w:rPr>
              <w:t>Subject</w:t>
            </w:r>
          </w:p>
        </w:tc>
      </w:tr>
      <w:tr w:rsidR="00E60B25" w:rsidRPr="0029721A" w14:paraId="27C3EEF0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0BD35BC2" w14:textId="3D594575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8/13/20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64478B9D" w14:textId="2082473D" w:rsidR="00E60B25" w:rsidRPr="0029721A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9" w:tooltip="Counsel to advise on Joint Ventures?" w:history="1">
              <w:r w:rsidR="00E60B25">
                <w:rPr>
                  <w:rStyle w:val="Hyperlink"/>
                  <w:rFonts w:ascii="Calibri" w:hAnsi="Calibri" w:cs="Calibri"/>
                </w:rPr>
                <w:t>Counsel to advise on Joint Ventures?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783CCD78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3933B6D1" w14:textId="19C7E324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5/21/20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6B3C029A" w14:textId="5F0089E2" w:rsidR="00E60B25" w:rsidRPr="0029721A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hyperlink r:id="rId10" w:tooltip="seeking land use counsel -- southeast fla" w:history="1">
              <w:r w:rsidR="00E60B25">
                <w:rPr>
                  <w:rStyle w:val="Hyperlink"/>
                  <w:rFonts w:ascii="Calibri" w:hAnsi="Calibri" w:cs="Calibri"/>
                </w:rPr>
                <w:t xml:space="preserve">seeking land use counsel -- southeast </w:t>
              </w:r>
              <w:proofErr w:type="spellStart"/>
              <w:r w:rsidR="00E60B25">
                <w:rPr>
                  <w:rStyle w:val="Hyperlink"/>
                  <w:rFonts w:ascii="Calibri" w:hAnsi="Calibri" w:cs="Calibri"/>
                </w:rPr>
                <w:t>fla</w:t>
              </w:r>
              <w:proofErr w:type="spellEnd"/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61E15DB2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4FA37ACA" w14:textId="71F9C614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4/28/20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209DD42C" w14:textId="20EC184F" w:rsidR="00E60B25" w:rsidRPr="0029721A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11" w:tooltip="Delaware Counsel Needed for Legal Opinion for Loan" w:history="1">
              <w:r w:rsidR="00E60B25">
                <w:rPr>
                  <w:rStyle w:val="Hyperlink"/>
                  <w:rFonts w:ascii="Calibri" w:hAnsi="Calibri" w:cs="Calibri"/>
                </w:rPr>
                <w:t>Delaware Counsel Needed for Legal Opinion for Loan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555E804B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1DD45AF8" w14:textId="639A3545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4/7/20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3E8D7F6E" w14:textId="1C6D4194" w:rsidR="00E60B25" w:rsidRPr="0029721A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hyperlink r:id="rId12" w:tooltip="Closing/consummation/completion of security instrument in real estate transactions as  unauthorized practice of law" w:history="1">
              <w:r w:rsidR="00E60B25">
                <w:rPr>
                  <w:rStyle w:val="Hyperlink"/>
                  <w:rFonts w:ascii="Calibri" w:hAnsi="Calibri" w:cs="Calibri"/>
                </w:rPr>
                <w:t>Closing/consummation/completion of security instrument in real estate transactions as unauthorized practice of law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2953296B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2F6391F7" w14:textId="19938919" w:rsidR="00E60B25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3/18/20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452EA3EA" w14:textId="26798B0E" w:rsidR="00E60B25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tooltip="Landlords and Coronavirus" w:history="1">
              <w:r w:rsidR="00E60B25">
                <w:rPr>
                  <w:rStyle w:val="Hyperlink"/>
                  <w:rFonts w:ascii="Calibri" w:hAnsi="Calibri" w:cs="Calibri"/>
                </w:rPr>
                <w:t>Landlords and Coronavirus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6622DD64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6282E3D7" w14:textId="1396AAE0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3/17/20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05AD5858" w14:textId="1FD86C15" w:rsidR="00E60B25" w:rsidRPr="0029721A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hyperlink r:id="rId14" w:tooltip="Broker Commission Rebate (New Jersey)" w:history="1">
              <w:r w:rsidR="00E60B25">
                <w:rPr>
                  <w:rStyle w:val="Hyperlink"/>
                  <w:rFonts w:ascii="Calibri" w:hAnsi="Calibri" w:cs="Calibri"/>
                </w:rPr>
                <w:t>Broker Commission Rebate (New Jersey)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35FC778B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6A82D6F4" w14:textId="0E335AF0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3/13/20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387D3239" w14:textId="4CB72CDB" w:rsidR="00E60B25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tooltip="COVID 19 and landlord right to restrict access to premises" w:history="1">
              <w:r w:rsidR="00E60B25">
                <w:rPr>
                  <w:rStyle w:val="Hyperlink"/>
                  <w:rFonts w:ascii="Calibri" w:hAnsi="Calibri" w:cs="Calibri"/>
                </w:rPr>
                <w:t>COVID 19 and landlord right to restrict access to premises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4C593616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3182EA3C" w14:textId="2C616A80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3/9/20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0660D85E" w14:textId="2A40B57C" w:rsidR="00E60B25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6" w:tooltip="Indeminification Clause" w:history="1">
              <w:proofErr w:type="spellStart"/>
              <w:r w:rsidR="00E60B25">
                <w:rPr>
                  <w:rStyle w:val="Hyperlink"/>
                  <w:rFonts w:ascii="Calibri" w:hAnsi="Calibri" w:cs="Calibri"/>
                </w:rPr>
                <w:t>Indeminification</w:t>
              </w:r>
              <w:proofErr w:type="spellEnd"/>
              <w:r w:rsidR="00E60B25">
                <w:rPr>
                  <w:rStyle w:val="Hyperlink"/>
                  <w:rFonts w:ascii="Calibri" w:hAnsi="Calibri" w:cs="Calibri"/>
                </w:rPr>
                <w:t xml:space="preserve"> Clause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2A284480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157CBCB7" w14:textId="21D49477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2/4/20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6D608056" w14:textId="0F7F2D6B" w:rsidR="00E60B25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tooltip="contract template for facility work" w:history="1">
              <w:r w:rsidR="00E60B25">
                <w:rPr>
                  <w:rStyle w:val="Hyperlink"/>
                  <w:rFonts w:ascii="Calibri" w:hAnsi="Calibri" w:cs="Calibri"/>
                </w:rPr>
                <w:t>contract template for facility work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100DACDE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65D8B3A5" w14:textId="1D5C6294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1/9/20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4570B647" w14:textId="1CFE0D68" w:rsidR="00E60B25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tooltip="Leasing and Landlord Property Ownership" w:history="1">
              <w:r w:rsidR="00E60B25">
                <w:rPr>
                  <w:rStyle w:val="Hyperlink"/>
                  <w:rFonts w:ascii="Calibri" w:hAnsi="Calibri" w:cs="Calibri"/>
                </w:rPr>
                <w:t>Leasing and Landlord Property Ownership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1D1DE47A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77AD89C6" w14:textId="2F7CE84C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1/6/20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578B7BEC" w14:textId="595516B6" w:rsidR="00E60B25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tooltip="Form of Executive Summary from GC to CEO for Approval of Real Estate Transaction" w:history="1">
              <w:r w:rsidR="00E60B25">
                <w:rPr>
                  <w:rStyle w:val="Hyperlink"/>
                  <w:rFonts w:ascii="Calibri" w:hAnsi="Calibri" w:cs="Calibri"/>
                </w:rPr>
                <w:t>Form of Executive Summary from GC to CEO for Approval of Real Estate Transaction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56B5CECB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1ED2EAB3" w14:textId="13149DB4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12/20/19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1C82885B" w14:textId="30552C58" w:rsidR="00E60B25" w:rsidRDefault="00A91016" w:rsidP="00E60B25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tooltip="Charlotte-area construction litigation attorney (for matter in SC)" w:history="1">
              <w:r w:rsidR="00E60B25">
                <w:rPr>
                  <w:rStyle w:val="Hyperlink"/>
                  <w:rFonts w:ascii="Calibri" w:hAnsi="Calibri" w:cs="Calibri"/>
                </w:rPr>
                <w:t>Charlotte-area construction litigation attorney (for matter in SC)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E60B25" w:rsidRPr="0029721A" w14:paraId="4C25D524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16548A9F" w14:textId="3F13C63E" w:rsidR="00E60B25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11/15/19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4456AC89" w14:textId="77615E3E" w:rsidR="00E60B25" w:rsidRDefault="00A91016" w:rsidP="00E60B25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tooltip="Multifamily housing vendor/consultant for resident accommodation/modification requests" w:history="1">
              <w:r w:rsidR="00E60B25">
                <w:rPr>
                  <w:rStyle w:val="Hyperlink"/>
                  <w:rFonts w:ascii="Calibri" w:hAnsi="Calibri" w:cs="Calibri"/>
                </w:rPr>
                <w:t>Multifamily housing vendor/consultant for resident accommodation/modification requests</w:t>
              </w:r>
            </w:hyperlink>
            <w:r w:rsidR="00E60B25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547E9" w:rsidRPr="0029721A" w14:paraId="5FA503A9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678E5D79" w14:textId="4B397960" w:rsidR="00C547E9" w:rsidRPr="00C547E9" w:rsidRDefault="00C547E9" w:rsidP="00E60B25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11/13/20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5BA4E2FE" w14:textId="220AE391" w:rsidR="00C547E9" w:rsidRPr="00C547E9" w:rsidRDefault="00A91016" w:rsidP="00C547E9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2" w:tooltip="Responsibility?" w:history="1">
              <w:r w:rsidR="00C547E9">
                <w:rPr>
                  <w:rStyle w:val="Hyperlink"/>
                  <w:rFonts w:ascii="Calibri" w:hAnsi="Calibri" w:cs="Calibri"/>
                </w:rPr>
                <w:t>Responsibility?</w:t>
              </w:r>
            </w:hyperlink>
            <w:r w:rsidR="00C547E9" w:rsidRPr="00C547E9">
              <w:rPr>
                <w:rStyle w:val="Hyperlink"/>
              </w:rPr>
              <w:t xml:space="preserve"> </w:t>
            </w:r>
          </w:p>
        </w:tc>
      </w:tr>
      <w:tr w:rsidR="00C547E9" w:rsidRPr="0029721A" w14:paraId="4BBA16F3" w14:textId="77777777" w:rsidTr="00A4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588A5EFB" w14:textId="3892D18D" w:rsidR="00C547E9" w:rsidRPr="00C547E9" w:rsidRDefault="00C547E9" w:rsidP="00C547E9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10/22/20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4F6AB54C" w14:textId="5DF577FD" w:rsidR="00C547E9" w:rsidRDefault="00A91016" w:rsidP="00C547E9">
            <w:pPr>
              <w:pStyle w:val="BodyText"/>
              <w:ind w:left="1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3" w:tooltip="Disclaimer Language in E-mail Signatures in Contract Negotiations" w:history="1">
              <w:r w:rsidR="00C547E9">
                <w:rPr>
                  <w:rStyle w:val="Hyperlink"/>
                  <w:rFonts w:ascii="Calibri" w:hAnsi="Calibri" w:cs="Calibri"/>
                </w:rPr>
                <w:t>Disclaimer Language in E-mail Signatures in Contract Negotiations</w:t>
              </w:r>
            </w:hyperlink>
            <w:r w:rsidR="00C547E9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547E9" w:rsidRPr="0029721A" w14:paraId="72DC7E26" w14:textId="77777777" w:rsidTr="00A46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8" w:space="0" w:color="000000" w:themeColor="text1"/>
            </w:tcBorders>
            <w:vAlign w:val="center"/>
          </w:tcPr>
          <w:p w14:paraId="3D0F4929" w14:textId="090D119E" w:rsidR="00C547E9" w:rsidRPr="00C547E9" w:rsidRDefault="00C547E9" w:rsidP="00C547E9">
            <w:pPr>
              <w:pStyle w:val="BodyText"/>
              <w:ind w:left="0"/>
              <w:jc w:val="center"/>
              <w:rPr>
                <w:rFonts w:cs="Arial"/>
              </w:rPr>
            </w:pPr>
            <w:r w:rsidRPr="00C547E9">
              <w:rPr>
                <w:rFonts w:cs="Arial"/>
              </w:rPr>
              <w:t>10/17/20</w:t>
            </w:r>
          </w:p>
        </w:tc>
        <w:tc>
          <w:tcPr>
            <w:tcW w:w="8329" w:type="dxa"/>
            <w:tcBorders>
              <w:left w:val="single" w:sz="8" w:space="0" w:color="000000" w:themeColor="text1"/>
            </w:tcBorders>
            <w:vAlign w:val="bottom"/>
          </w:tcPr>
          <w:p w14:paraId="0E767E6B" w14:textId="2D0909EA" w:rsidR="00C547E9" w:rsidRDefault="00A91016" w:rsidP="00C547E9">
            <w:pPr>
              <w:pStyle w:val="BodyText"/>
              <w:ind w:left="1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4" w:tooltip="real estate dispute in Sacramento area" w:history="1">
              <w:r w:rsidR="00C547E9">
                <w:rPr>
                  <w:rStyle w:val="Hyperlink"/>
                  <w:rFonts w:ascii="Calibri" w:hAnsi="Calibri" w:cs="Calibri"/>
                </w:rPr>
                <w:t>real estate dispute in Sacramento area</w:t>
              </w:r>
            </w:hyperlink>
            <w:r w:rsidR="00C547E9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</w:tbl>
    <w:p w14:paraId="2904EA66" w14:textId="77777777" w:rsidR="007A6CAB" w:rsidRDefault="007A6CAB" w:rsidP="007A6CAB">
      <w:pPr>
        <w:rPr>
          <w:rFonts w:ascii="Gill Sans" w:hAnsi="Gill Sans" w:cs="Gill Sans"/>
          <w:i/>
          <w:vertAlign w:val="superscript"/>
        </w:rPr>
      </w:pPr>
    </w:p>
    <w:p w14:paraId="0687549C" w14:textId="77777777" w:rsidR="007A6CAB" w:rsidRDefault="007A6CAB" w:rsidP="007A6CAB">
      <w:pPr>
        <w:rPr>
          <w:rFonts w:ascii="Gill Sans" w:hAnsi="Gill Sans" w:cs="Gill Sans"/>
          <w:i/>
          <w:vertAlign w:val="superscript"/>
        </w:rPr>
      </w:pPr>
    </w:p>
    <w:p w14:paraId="10C59CF2" w14:textId="08D80BFD" w:rsidR="007A6CAB" w:rsidRDefault="007A6CAB" w:rsidP="007A6CAB">
      <w:pPr>
        <w:rPr>
          <w:rFonts w:ascii="Gill Sans" w:hAnsi="Gill Sans" w:cs="Gill Sans"/>
          <w:i/>
          <w:vertAlign w:val="superscript"/>
        </w:rPr>
      </w:pPr>
    </w:p>
    <w:p w14:paraId="635091BF" w14:textId="24F42601" w:rsidR="00495EC2" w:rsidRDefault="00495EC2" w:rsidP="007A6CAB">
      <w:pPr>
        <w:rPr>
          <w:rFonts w:ascii="Gill Sans" w:hAnsi="Gill Sans" w:cs="Gill Sans"/>
          <w:i/>
          <w:vertAlign w:val="superscript"/>
        </w:rPr>
      </w:pPr>
    </w:p>
    <w:p w14:paraId="4562B121" w14:textId="763224BD" w:rsidR="00495EC2" w:rsidRDefault="00495EC2" w:rsidP="007A6CAB">
      <w:pPr>
        <w:rPr>
          <w:rFonts w:ascii="Gill Sans" w:hAnsi="Gill Sans" w:cs="Gill Sans"/>
          <w:i/>
          <w:vertAlign w:val="superscript"/>
        </w:rPr>
      </w:pPr>
    </w:p>
    <w:p w14:paraId="7CB85A1F" w14:textId="47665404" w:rsidR="00495EC2" w:rsidRDefault="00495EC2" w:rsidP="007A6CAB">
      <w:pPr>
        <w:rPr>
          <w:rFonts w:ascii="Gill Sans" w:hAnsi="Gill Sans" w:cs="Gill Sans"/>
          <w:i/>
          <w:vertAlign w:val="superscript"/>
        </w:rPr>
      </w:pPr>
    </w:p>
    <w:p w14:paraId="3BB207ED" w14:textId="37E6ED35" w:rsidR="00495EC2" w:rsidRDefault="00495EC2" w:rsidP="007A6CAB">
      <w:pPr>
        <w:rPr>
          <w:rFonts w:ascii="Gill Sans" w:hAnsi="Gill Sans" w:cs="Gill Sans"/>
          <w:i/>
          <w:vertAlign w:val="superscript"/>
        </w:rPr>
      </w:pPr>
    </w:p>
    <w:p w14:paraId="3126E97D" w14:textId="3CD83514" w:rsidR="00495EC2" w:rsidRDefault="00495EC2" w:rsidP="007A6CAB">
      <w:pPr>
        <w:rPr>
          <w:rFonts w:ascii="Gill Sans" w:hAnsi="Gill Sans" w:cs="Gill Sans"/>
          <w:i/>
          <w:vertAlign w:val="superscript"/>
        </w:rPr>
      </w:pPr>
    </w:p>
    <w:p w14:paraId="1A8104D1" w14:textId="77777777" w:rsidR="007A6CAB" w:rsidRDefault="007A6CAB" w:rsidP="007A6CAB">
      <w:pPr>
        <w:rPr>
          <w:rFonts w:ascii="Gill Sans" w:hAnsi="Gill Sans" w:cs="Gill Sans"/>
          <w:i/>
          <w:vertAlign w:val="superscript"/>
        </w:rPr>
      </w:pPr>
      <w:bookmarkStart w:id="0" w:name="_GoBack"/>
      <w:bookmarkEnd w:id="0"/>
    </w:p>
    <w:p w14:paraId="0AB1F87B" w14:textId="77777777" w:rsidR="00EF6CF2" w:rsidRDefault="00EF6CF2" w:rsidP="00EF6CF2">
      <w:pPr>
        <w:jc w:val="center"/>
        <w:rPr>
          <w:b/>
          <w:bCs/>
          <w:caps/>
          <w:sz w:val="28"/>
          <w:szCs w:val="28"/>
        </w:rPr>
      </w:pPr>
      <w:bookmarkStart w:id="1" w:name="Dates"/>
      <w:r>
        <w:rPr>
          <w:b/>
          <w:bCs/>
          <w:caps/>
          <w:sz w:val="28"/>
          <w:szCs w:val="28"/>
        </w:rPr>
        <w:t>Important Dates</w:t>
      </w:r>
    </w:p>
    <w:bookmarkEnd w:id="1"/>
    <w:p w14:paraId="68963536" w14:textId="77777777" w:rsidR="00EF6CF2" w:rsidRDefault="00EF6CF2" w:rsidP="00EF6CF2">
      <w:pPr>
        <w:jc w:val="center"/>
        <w:rPr>
          <w:b/>
          <w:sz w:val="16"/>
          <w:szCs w:val="16"/>
        </w:rPr>
      </w:pPr>
    </w:p>
    <w:tbl>
      <w:tblPr>
        <w:tblStyle w:val="MediumShading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33"/>
        <w:gridCol w:w="3267"/>
      </w:tblGrid>
      <w:tr w:rsidR="00EF6CF2" w14:paraId="40AAB905" w14:textId="77777777" w:rsidTr="30BDE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2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6584511A" w14:textId="77777777" w:rsidR="00EF6CF2" w:rsidRPr="006376D8" w:rsidRDefault="00EF6CF2" w:rsidP="30BDE234">
            <w:pPr>
              <w:ind w:left="-1440" w:right="-720"/>
              <w:jc w:val="center"/>
              <w:rPr>
                <w:sz w:val="28"/>
                <w:szCs w:val="28"/>
              </w:rPr>
            </w:pPr>
            <w:r w:rsidRPr="30BDE234">
              <w:rPr>
                <w:sz w:val="28"/>
                <w:szCs w:val="28"/>
              </w:rPr>
              <w:br w:type="page"/>
            </w:r>
            <w:r w:rsidRPr="30BDE234">
              <w:rPr>
                <w:sz w:val="28"/>
                <w:szCs w:val="28"/>
              </w:rPr>
              <w:br w:type="page"/>
            </w:r>
            <w:r w:rsidR="30BDE234" w:rsidRPr="30BDE234">
              <w:rPr>
                <w:b w:val="0"/>
                <w:bCs w:val="0"/>
                <w:sz w:val="28"/>
                <w:szCs w:val="28"/>
              </w:rPr>
              <w:t xml:space="preserve">                 </w:t>
            </w:r>
            <w:r w:rsidR="30BDE234" w:rsidRPr="30BDE234">
              <w:rPr>
                <w:sz w:val="28"/>
                <w:szCs w:val="28"/>
              </w:rPr>
              <w:t>Item</w:t>
            </w:r>
          </w:p>
        </w:tc>
        <w:tc>
          <w:tcPr>
            <w:tcW w:w="3267" w:type="dxa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20282F49" w14:textId="77777777" w:rsidR="00EF6CF2" w:rsidRPr="006376D8" w:rsidRDefault="30BDE234" w:rsidP="30BDE234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0BDE234">
              <w:rPr>
                <w:sz w:val="28"/>
                <w:szCs w:val="28"/>
              </w:rPr>
              <w:t xml:space="preserve">               Date</w:t>
            </w:r>
          </w:p>
        </w:tc>
      </w:tr>
      <w:tr w:rsidR="00EF6CF2" w14:paraId="72D95B51" w14:textId="77777777" w:rsidTr="30BDE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15AB04D9" w14:textId="77777777" w:rsidR="00EF6CF2" w:rsidRPr="006376D8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30BDE234">
              <w:rPr>
                <w:b w:val="0"/>
                <w:bCs w:val="0"/>
                <w:sz w:val="28"/>
                <w:szCs w:val="28"/>
              </w:rPr>
              <w:t>Program Idea Submission Deadline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18D" w14:textId="20EAB50E" w:rsidR="00EF6CF2" w:rsidRPr="006376D8" w:rsidRDefault="30BDE234" w:rsidP="30BDE234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Wed., Feb. 3, 2021 </w:t>
            </w:r>
          </w:p>
        </w:tc>
      </w:tr>
      <w:tr w:rsidR="00EF6CF2" w14:paraId="498787E5" w14:textId="77777777" w:rsidTr="30BDE2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17911E40" w14:textId="77777777" w:rsidR="00EF6CF2" w:rsidRPr="006376D8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30BDE234">
              <w:rPr>
                <w:b w:val="0"/>
                <w:bCs w:val="0"/>
                <w:sz w:val="28"/>
                <w:szCs w:val="28"/>
              </w:rPr>
              <w:t>Program Selection Notifications Sent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F6A" w14:textId="6BDBD3EB" w:rsidR="00EF6CF2" w:rsidRPr="006376D8" w:rsidRDefault="30BDE234" w:rsidP="30BDE234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0BDE234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Wed., March 31, 2021 </w:t>
            </w:r>
          </w:p>
        </w:tc>
      </w:tr>
      <w:tr w:rsidR="30BDE234" w14:paraId="7A1A3607" w14:textId="77777777" w:rsidTr="30BDE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7F5E2FF" w14:textId="10CA595B" w:rsidR="30BDE234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7205" w14:textId="51058C87" w:rsidR="30BDE234" w:rsidRDefault="30BDE234" w:rsidP="30BDE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</w:tr>
      <w:tr w:rsidR="00EF6CF2" w14:paraId="345DD0E0" w14:textId="77777777" w:rsidTr="30BDE2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6F75337B" w14:textId="77777777" w:rsidR="00EF6CF2" w:rsidRPr="006376D8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30BDE234">
              <w:rPr>
                <w:b w:val="0"/>
                <w:bCs w:val="0"/>
                <w:sz w:val="28"/>
                <w:szCs w:val="28"/>
              </w:rPr>
              <w:t>Program Organizer Submission Deadline</w:t>
            </w:r>
            <w:r w:rsidRPr="30BDE234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E6F9" w14:textId="2808681E" w:rsidR="00EF6CF2" w:rsidRPr="006376D8" w:rsidRDefault="30BDE234" w:rsidP="30BDE234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Wed., April 14, 2021 </w:t>
            </w:r>
          </w:p>
        </w:tc>
      </w:tr>
      <w:tr w:rsidR="00EF6CF2" w14:paraId="2776A721" w14:textId="77777777" w:rsidTr="30BDE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66DE9A0D" w14:textId="77777777" w:rsidR="00EF6CF2" w:rsidRPr="006376D8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30BDE234">
              <w:rPr>
                <w:b w:val="0"/>
                <w:bCs w:val="0"/>
                <w:sz w:val="28"/>
                <w:szCs w:val="28"/>
              </w:rPr>
              <w:t>Speaker Submission Deadline</w:t>
            </w:r>
            <w:r w:rsidRPr="30BDE234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D3EC" w14:textId="10976480" w:rsidR="00EF6CF2" w:rsidRPr="006376D8" w:rsidRDefault="30BDE234" w:rsidP="30BDE234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Fri., June 4, 2021</w:t>
            </w:r>
          </w:p>
        </w:tc>
      </w:tr>
      <w:tr w:rsidR="00EF6CF2" w14:paraId="47F3966D" w14:textId="77777777" w:rsidTr="30BDE2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0DF65EC7" w14:textId="77777777" w:rsidR="00EF6CF2" w:rsidRPr="006376D8" w:rsidRDefault="30BDE234" w:rsidP="30BDE23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30BDE234">
              <w:rPr>
                <w:b w:val="0"/>
                <w:bCs w:val="0"/>
                <w:sz w:val="28"/>
                <w:szCs w:val="28"/>
              </w:rPr>
              <w:t>Course Material Submission Deadline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BE34" w14:textId="3BA20A9B" w:rsidR="00EF6CF2" w:rsidRPr="006376D8" w:rsidRDefault="30BDE234" w:rsidP="30BDE234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Tues., Aug. 31, 2021</w:t>
            </w:r>
          </w:p>
        </w:tc>
      </w:tr>
    </w:tbl>
    <w:p w14:paraId="080970CE" w14:textId="77777777" w:rsidR="007A6CAB" w:rsidRDefault="007A6CAB" w:rsidP="00EF6CF2">
      <w:pPr>
        <w:rPr>
          <w:rFonts w:ascii="Gill Sans" w:hAnsi="Gill Sans" w:cs="Gill Sans"/>
          <w:i/>
          <w:vertAlign w:val="superscript"/>
        </w:rPr>
      </w:pPr>
    </w:p>
    <w:p w14:paraId="25A8C5C1" w14:textId="77777777" w:rsidR="002105AA" w:rsidRPr="002105AA" w:rsidRDefault="002105AA" w:rsidP="00EF6CF2">
      <w:pPr>
        <w:ind w:left="720" w:firstLine="720"/>
        <w:jc w:val="center"/>
        <w:rPr>
          <w:rFonts w:ascii="Gill Sans" w:hAnsi="Gill Sans" w:cs="Gill Sans"/>
          <w:i/>
        </w:rPr>
      </w:pPr>
      <w:r w:rsidRPr="002105AA">
        <w:rPr>
          <w:rFonts w:ascii="Gill Sans" w:hAnsi="Gill Sans" w:cs="Gill Sans"/>
          <w:i/>
          <w:vertAlign w:val="superscript"/>
        </w:rPr>
        <w:t>‡</w:t>
      </w:r>
      <w:r w:rsidRPr="002105AA">
        <w:rPr>
          <w:rFonts w:ascii="Gill Sans" w:hAnsi="Gill Sans" w:cs="Gill Sans"/>
          <w:i/>
        </w:rPr>
        <w:t>ACC confirms program organizer and speaker submissions on rolling basis</w:t>
      </w:r>
    </w:p>
    <w:p w14:paraId="64AD9B47" w14:textId="1790C9A2" w:rsidR="00402105" w:rsidRPr="00BA392E" w:rsidRDefault="00402105" w:rsidP="00BA392E">
      <w:pPr>
        <w:jc w:val="center"/>
        <w:rPr>
          <w:rFonts w:cs="Arial"/>
          <w:i/>
        </w:rPr>
      </w:pPr>
    </w:p>
    <w:sectPr w:rsidR="00402105" w:rsidRPr="00BA392E" w:rsidSect="00B652FA">
      <w:footerReference w:type="even" r:id="rId25"/>
      <w:footerReference w:type="default" r:id="rId26"/>
      <w:footerReference w:type="first" r:id="rId27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0BB0" w14:textId="77777777" w:rsidR="00A91016" w:rsidRDefault="00A91016">
      <w:r>
        <w:separator/>
      </w:r>
    </w:p>
  </w:endnote>
  <w:endnote w:type="continuationSeparator" w:id="0">
    <w:p w14:paraId="71F65646" w14:textId="77777777" w:rsidR="00A91016" w:rsidRDefault="00A9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DD66" w14:textId="77777777" w:rsidR="00954B66" w:rsidRDefault="0095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954B66" w:rsidRDefault="00954B66">
    <w:pPr>
      <w:pStyle w:val="Footer"/>
    </w:pPr>
  </w:p>
  <w:p w14:paraId="0162D035" w14:textId="77777777" w:rsidR="00954B66" w:rsidRDefault="00954B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CF0" w14:textId="77777777" w:rsidR="00954B66" w:rsidRDefault="00954B66">
    <w:pPr>
      <w:pStyle w:val="Footer"/>
    </w:pPr>
    <w:r>
      <w:rPr>
        <w:rFonts w:ascii="Wingdings" w:eastAsia="Wingdings" w:hAnsi="Wingdings" w:cs="Wingdings"/>
      </w:rPr>
      <w:t></w:t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3E5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BFA0D0" w14:textId="77777777" w:rsidR="00954B66" w:rsidRDefault="00954B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2631" w14:textId="77777777" w:rsidR="00954B66" w:rsidRDefault="00954B66" w:rsidP="00402105">
    <w:pPr>
      <w:tabs>
        <w:tab w:val="left" w:pos="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C908" w14:textId="77777777" w:rsidR="00A91016" w:rsidRDefault="00A91016">
      <w:r>
        <w:separator/>
      </w:r>
    </w:p>
  </w:footnote>
  <w:footnote w:type="continuationSeparator" w:id="0">
    <w:p w14:paraId="2B61B1C4" w14:textId="77777777" w:rsidR="00A91016" w:rsidRDefault="00A9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A8DA5152"/>
    <w:lvl w:ilvl="0" w:tplc="B32041B4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E95E6694">
      <w:numFmt w:val="decimal"/>
      <w:lvlText w:val=""/>
      <w:lvlJc w:val="left"/>
    </w:lvl>
    <w:lvl w:ilvl="2" w:tplc="9D949D5C">
      <w:numFmt w:val="decimal"/>
      <w:lvlText w:val=""/>
      <w:lvlJc w:val="left"/>
    </w:lvl>
    <w:lvl w:ilvl="3" w:tplc="5B3C72CA">
      <w:numFmt w:val="decimal"/>
      <w:lvlText w:val=""/>
      <w:lvlJc w:val="left"/>
    </w:lvl>
    <w:lvl w:ilvl="4" w:tplc="191E14CC">
      <w:numFmt w:val="decimal"/>
      <w:lvlText w:val=""/>
      <w:lvlJc w:val="left"/>
    </w:lvl>
    <w:lvl w:ilvl="5" w:tplc="4BAA45A4">
      <w:numFmt w:val="decimal"/>
      <w:lvlText w:val=""/>
      <w:lvlJc w:val="left"/>
    </w:lvl>
    <w:lvl w:ilvl="6" w:tplc="1DF0BF68">
      <w:numFmt w:val="decimal"/>
      <w:lvlText w:val=""/>
      <w:lvlJc w:val="left"/>
    </w:lvl>
    <w:lvl w:ilvl="7" w:tplc="6D54B9BC">
      <w:numFmt w:val="decimal"/>
      <w:lvlText w:val=""/>
      <w:lvlJc w:val="left"/>
    </w:lvl>
    <w:lvl w:ilvl="8" w:tplc="EB026D1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0E25E94"/>
    <w:lvl w:ilvl="0" w:tplc="B14A189C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9C0CED2A">
      <w:numFmt w:val="decimal"/>
      <w:lvlText w:val=""/>
      <w:lvlJc w:val="left"/>
    </w:lvl>
    <w:lvl w:ilvl="2" w:tplc="046C2716">
      <w:numFmt w:val="decimal"/>
      <w:lvlText w:val=""/>
      <w:lvlJc w:val="left"/>
    </w:lvl>
    <w:lvl w:ilvl="3" w:tplc="D3944F46">
      <w:numFmt w:val="decimal"/>
      <w:lvlText w:val=""/>
      <w:lvlJc w:val="left"/>
    </w:lvl>
    <w:lvl w:ilvl="4" w:tplc="A2D2DA36">
      <w:numFmt w:val="decimal"/>
      <w:lvlText w:val=""/>
      <w:lvlJc w:val="left"/>
    </w:lvl>
    <w:lvl w:ilvl="5" w:tplc="CDB052EC">
      <w:numFmt w:val="decimal"/>
      <w:lvlText w:val=""/>
      <w:lvlJc w:val="left"/>
    </w:lvl>
    <w:lvl w:ilvl="6" w:tplc="B644F40E">
      <w:numFmt w:val="decimal"/>
      <w:lvlText w:val=""/>
      <w:lvlJc w:val="left"/>
    </w:lvl>
    <w:lvl w:ilvl="7" w:tplc="4ECC74CC">
      <w:numFmt w:val="decimal"/>
      <w:lvlText w:val=""/>
      <w:lvlJc w:val="left"/>
    </w:lvl>
    <w:lvl w:ilvl="8" w:tplc="3A600314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3" w15:restartNumberingAfterBreak="0">
    <w:nsid w:val="73AB346A"/>
    <w:multiLevelType w:val="hybridMultilevel"/>
    <w:tmpl w:val="FF08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17995"/>
    <w:rsid w:val="00025846"/>
    <w:rsid w:val="000347A0"/>
    <w:rsid w:val="00042E89"/>
    <w:rsid w:val="00076A11"/>
    <w:rsid w:val="00090208"/>
    <w:rsid w:val="000B40F4"/>
    <w:rsid w:val="000C5961"/>
    <w:rsid w:val="000D6A6C"/>
    <w:rsid w:val="000E1F42"/>
    <w:rsid w:val="001279C0"/>
    <w:rsid w:val="00141D2A"/>
    <w:rsid w:val="00142FFD"/>
    <w:rsid w:val="00164496"/>
    <w:rsid w:val="00166D74"/>
    <w:rsid w:val="001732C3"/>
    <w:rsid w:val="00176AA5"/>
    <w:rsid w:val="001D13DD"/>
    <w:rsid w:val="00205931"/>
    <w:rsid w:val="002105AA"/>
    <w:rsid w:val="00221AF2"/>
    <w:rsid w:val="00240310"/>
    <w:rsid w:val="0029721A"/>
    <w:rsid w:val="002B2019"/>
    <w:rsid w:val="002D19E2"/>
    <w:rsid w:val="002D56B8"/>
    <w:rsid w:val="002E5DF8"/>
    <w:rsid w:val="003245FD"/>
    <w:rsid w:val="00332C53"/>
    <w:rsid w:val="00333081"/>
    <w:rsid w:val="00365C11"/>
    <w:rsid w:val="003A145B"/>
    <w:rsid w:val="003C38C5"/>
    <w:rsid w:val="003F3AB0"/>
    <w:rsid w:val="00402105"/>
    <w:rsid w:val="004137F8"/>
    <w:rsid w:val="0043149E"/>
    <w:rsid w:val="004426CF"/>
    <w:rsid w:val="004540F6"/>
    <w:rsid w:val="00483EEF"/>
    <w:rsid w:val="004847BB"/>
    <w:rsid w:val="0048653D"/>
    <w:rsid w:val="00495EC2"/>
    <w:rsid w:val="004A032E"/>
    <w:rsid w:val="004B34CD"/>
    <w:rsid w:val="005277F4"/>
    <w:rsid w:val="005430FC"/>
    <w:rsid w:val="00546200"/>
    <w:rsid w:val="0055373B"/>
    <w:rsid w:val="00577E87"/>
    <w:rsid w:val="005F256B"/>
    <w:rsid w:val="00601906"/>
    <w:rsid w:val="00605947"/>
    <w:rsid w:val="00622418"/>
    <w:rsid w:val="006228B7"/>
    <w:rsid w:val="00625FA3"/>
    <w:rsid w:val="006376D8"/>
    <w:rsid w:val="006444FC"/>
    <w:rsid w:val="00655309"/>
    <w:rsid w:val="0067072C"/>
    <w:rsid w:val="006842A2"/>
    <w:rsid w:val="00694DC0"/>
    <w:rsid w:val="006A6AAF"/>
    <w:rsid w:val="006B0464"/>
    <w:rsid w:val="006B1AB9"/>
    <w:rsid w:val="006C46D5"/>
    <w:rsid w:val="006F49D1"/>
    <w:rsid w:val="00700F7A"/>
    <w:rsid w:val="00712FD5"/>
    <w:rsid w:val="00765A34"/>
    <w:rsid w:val="007A6CAB"/>
    <w:rsid w:val="007B507A"/>
    <w:rsid w:val="007C2BA8"/>
    <w:rsid w:val="007C6A07"/>
    <w:rsid w:val="007E0F43"/>
    <w:rsid w:val="007F7CB9"/>
    <w:rsid w:val="00800C2D"/>
    <w:rsid w:val="00812E6B"/>
    <w:rsid w:val="00843AA5"/>
    <w:rsid w:val="00872F59"/>
    <w:rsid w:val="0089527E"/>
    <w:rsid w:val="008B02EB"/>
    <w:rsid w:val="008B2548"/>
    <w:rsid w:val="008B349E"/>
    <w:rsid w:val="008C1DB8"/>
    <w:rsid w:val="008D1613"/>
    <w:rsid w:val="008D6991"/>
    <w:rsid w:val="008F2A9D"/>
    <w:rsid w:val="009063D0"/>
    <w:rsid w:val="00911D27"/>
    <w:rsid w:val="009249BE"/>
    <w:rsid w:val="00935B26"/>
    <w:rsid w:val="00951682"/>
    <w:rsid w:val="00954B66"/>
    <w:rsid w:val="009640F1"/>
    <w:rsid w:val="00973EC1"/>
    <w:rsid w:val="00982658"/>
    <w:rsid w:val="00982E90"/>
    <w:rsid w:val="009954D2"/>
    <w:rsid w:val="009959EA"/>
    <w:rsid w:val="009B3EE6"/>
    <w:rsid w:val="009B5115"/>
    <w:rsid w:val="009B6CE5"/>
    <w:rsid w:val="009E192A"/>
    <w:rsid w:val="00A0018D"/>
    <w:rsid w:val="00A034C9"/>
    <w:rsid w:val="00A10384"/>
    <w:rsid w:val="00A24490"/>
    <w:rsid w:val="00A45FF6"/>
    <w:rsid w:val="00A56597"/>
    <w:rsid w:val="00A60AA9"/>
    <w:rsid w:val="00A730D0"/>
    <w:rsid w:val="00A91016"/>
    <w:rsid w:val="00AA1AD1"/>
    <w:rsid w:val="00AB06F3"/>
    <w:rsid w:val="00B07859"/>
    <w:rsid w:val="00B17DAC"/>
    <w:rsid w:val="00B203E5"/>
    <w:rsid w:val="00B3284F"/>
    <w:rsid w:val="00B652FA"/>
    <w:rsid w:val="00B6792E"/>
    <w:rsid w:val="00B76611"/>
    <w:rsid w:val="00B902B8"/>
    <w:rsid w:val="00BA392E"/>
    <w:rsid w:val="00BC0D75"/>
    <w:rsid w:val="00BD0C85"/>
    <w:rsid w:val="00BE6F4A"/>
    <w:rsid w:val="00BF161A"/>
    <w:rsid w:val="00BF6527"/>
    <w:rsid w:val="00BF6672"/>
    <w:rsid w:val="00C055D9"/>
    <w:rsid w:val="00C130AA"/>
    <w:rsid w:val="00C15150"/>
    <w:rsid w:val="00C2542B"/>
    <w:rsid w:val="00C52187"/>
    <w:rsid w:val="00C547E9"/>
    <w:rsid w:val="00C63109"/>
    <w:rsid w:val="00C63EEF"/>
    <w:rsid w:val="00C85153"/>
    <w:rsid w:val="00CB054C"/>
    <w:rsid w:val="00D0686D"/>
    <w:rsid w:val="00D15979"/>
    <w:rsid w:val="00D216A4"/>
    <w:rsid w:val="00D27203"/>
    <w:rsid w:val="00D3591B"/>
    <w:rsid w:val="00D437D8"/>
    <w:rsid w:val="00D7205D"/>
    <w:rsid w:val="00D74234"/>
    <w:rsid w:val="00D95911"/>
    <w:rsid w:val="00D9700A"/>
    <w:rsid w:val="00DB28C1"/>
    <w:rsid w:val="00DB67E2"/>
    <w:rsid w:val="00DD7EB9"/>
    <w:rsid w:val="00DE61DF"/>
    <w:rsid w:val="00DF1E72"/>
    <w:rsid w:val="00E1478E"/>
    <w:rsid w:val="00E21BE6"/>
    <w:rsid w:val="00E46C99"/>
    <w:rsid w:val="00E60B25"/>
    <w:rsid w:val="00E710D5"/>
    <w:rsid w:val="00E81DC2"/>
    <w:rsid w:val="00EB1412"/>
    <w:rsid w:val="00EB3BD7"/>
    <w:rsid w:val="00EB4A08"/>
    <w:rsid w:val="00EB5730"/>
    <w:rsid w:val="00EB7F7E"/>
    <w:rsid w:val="00EC34AD"/>
    <w:rsid w:val="00EE6F64"/>
    <w:rsid w:val="00EF3537"/>
    <w:rsid w:val="00EF6CF2"/>
    <w:rsid w:val="00F158F4"/>
    <w:rsid w:val="00F17F40"/>
    <w:rsid w:val="00F220A3"/>
    <w:rsid w:val="00F624D7"/>
    <w:rsid w:val="00F75D4E"/>
    <w:rsid w:val="00FA5B55"/>
    <w:rsid w:val="00FC3A69"/>
    <w:rsid w:val="00FD2E8B"/>
    <w:rsid w:val="00FD380D"/>
    <w:rsid w:val="00FD5925"/>
    <w:rsid w:val="00FD67C7"/>
    <w:rsid w:val="00FE20D0"/>
    <w:rsid w:val="00FE39FD"/>
    <w:rsid w:val="00FF03FC"/>
    <w:rsid w:val="00FF61C4"/>
    <w:rsid w:val="00FF6C6E"/>
    <w:rsid w:val="30BDE2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3EEF"/>
    <w:rPr>
      <w:sz w:val="24"/>
      <w:szCs w:val="24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szCs w:val="20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szCs w:val="20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spacing w:val="-5"/>
      <w:kern w:val="28"/>
      <w:sz w:val="20"/>
      <w:szCs w:val="20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  <w:szCs w:val="20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rsid w:val="00B652FA"/>
    <w:pPr>
      <w:keepNext/>
      <w:spacing w:line="220" w:lineRule="atLeast"/>
      <w:ind w:left="835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  <w:rPr>
      <w:rFonts w:ascii="Arial" w:hAnsi="Arial"/>
      <w:spacing w:val="-5"/>
      <w:sz w:val="20"/>
      <w:szCs w:val="20"/>
    </w:r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  <w:rPr>
      <w:rFonts w:ascii="Arial" w:hAnsi="Arial"/>
      <w:spacing w:val="-5"/>
      <w:sz w:val="20"/>
      <w:szCs w:val="20"/>
    </w:rPr>
  </w:style>
  <w:style w:type="paragraph" w:styleId="List2">
    <w:name w:val="List 2"/>
    <w:basedOn w:val="Normal"/>
    <w:rsid w:val="00B652FA"/>
    <w:pPr>
      <w:ind w:left="1555" w:hanging="360"/>
    </w:pPr>
    <w:rPr>
      <w:rFonts w:ascii="Arial" w:hAnsi="Arial"/>
      <w:spacing w:val="-5"/>
      <w:sz w:val="20"/>
      <w:szCs w:val="20"/>
    </w:rPr>
  </w:style>
  <w:style w:type="paragraph" w:styleId="List3">
    <w:name w:val="List 3"/>
    <w:basedOn w:val="Normal"/>
    <w:rsid w:val="00B652FA"/>
    <w:pPr>
      <w:ind w:left="1915" w:hanging="360"/>
    </w:pPr>
    <w:rPr>
      <w:rFonts w:ascii="Arial" w:hAnsi="Arial"/>
      <w:spacing w:val="-5"/>
      <w:sz w:val="20"/>
      <w:szCs w:val="20"/>
    </w:rPr>
  </w:style>
  <w:style w:type="paragraph" w:styleId="List4">
    <w:name w:val="List 4"/>
    <w:basedOn w:val="Normal"/>
    <w:rsid w:val="00B652FA"/>
    <w:pPr>
      <w:ind w:left="2275" w:hanging="360"/>
    </w:pPr>
    <w:rPr>
      <w:rFonts w:ascii="Arial" w:hAnsi="Arial"/>
      <w:spacing w:val="-5"/>
      <w:sz w:val="20"/>
      <w:szCs w:val="20"/>
    </w:rPr>
  </w:style>
  <w:style w:type="paragraph" w:styleId="List5">
    <w:name w:val="List 5"/>
    <w:basedOn w:val="Normal"/>
    <w:rsid w:val="00B652FA"/>
    <w:pPr>
      <w:ind w:left="2635" w:hanging="360"/>
    </w:pPr>
    <w:rPr>
      <w:rFonts w:ascii="Arial" w:hAnsi="Arial"/>
      <w:spacing w:val="-5"/>
      <w:sz w:val="20"/>
      <w:szCs w:val="20"/>
    </w:r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  <w:rPr>
      <w:rFonts w:ascii="Arial" w:hAnsi="Arial"/>
      <w:spacing w:val="-5"/>
      <w:sz w:val="20"/>
      <w:szCs w:val="20"/>
    </w:r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  <w:rPr>
      <w:rFonts w:ascii="Arial" w:hAnsi="Arial"/>
      <w:spacing w:val="-5"/>
      <w:sz w:val="20"/>
      <w:szCs w:val="20"/>
    </w:r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  <w:rPr>
      <w:rFonts w:ascii="Arial" w:hAnsi="Arial"/>
      <w:spacing w:val="-5"/>
      <w:sz w:val="20"/>
      <w:szCs w:val="20"/>
    </w:r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  <w:rPr>
      <w:rFonts w:ascii="Arial" w:hAnsi="Arial"/>
      <w:spacing w:val="-5"/>
      <w:sz w:val="20"/>
      <w:szCs w:val="20"/>
    </w:r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  <w:rPr>
      <w:rFonts w:ascii="Arial" w:hAnsi="Arial"/>
      <w:spacing w:val="-5"/>
      <w:sz w:val="20"/>
      <w:szCs w:val="20"/>
    </w:rPr>
  </w:style>
  <w:style w:type="paragraph" w:styleId="ListContinue">
    <w:name w:val="List Continue"/>
    <w:basedOn w:val="Normal"/>
    <w:rsid w:val="00B652FA"/>
    <w:pPr>
      <w:spacing w:after="120"/>
      <w:ind w:left="1195"/>
    </w:pPr>
    <w:rPr>
      <w:rFonts w:ascii="Arial" w:hAnsi="Arial"/>
      <w:spacing w:val="-5"/>
      <w:sz w:val="20"/>
      <w:szCs w:val="20"/>
    </w:rPr>
  </w:style>
  <w:style w:type="paragraph" w:styleId="ListContinue2">
    <w:name w:val="List Continue 2"/>
    <w:basedOn w:val="Normal"/>
    <w:rsid w:val="00B652FA"/>
    <w:pPr>
      <w:spacing w:after="120"/>
      <w:ind w:left="1555"/>
    </w:pPr>
    <w:rPr>
      <w:rFonts w:ascii="Arial" w:hAnsi="Arial"/>
      <w:spacing w:val="-5"/>
      <w:sz w:val="20"/>
      <w:szCs w:val="20"/>
    </w:rPr>
  </w:style>
  <w:style w:type="paragraph" w:styleId="ListContinue3">
    <w:name w:val="List Continue 3"/>
    <w:basedOn w:val="Normal"/>
    <w:rsid w:val="00B652FA"/>
    <w:pPr>
      <w:spacing w:after="120"/>
      <w:ind w:left="1915"/>
    </w:pPr>
    <w:rPr>
      <w:rFonts w:ascii="Arial" w:hAnsi="Arial"/>
      <w:spacing w:val="-5"/>
      <w:sz w:val="20"/>
      <w:szCs w:val="20"/>
    </w:rPr>
  </w:style>
  <w:style w:type="paragraph" w:styleId="ListContinue4">
    <w:name w:val="List Continue 4"/>
    <w:basedOn w:val="Normal"/>
    <w:rsid w:val="00B652FA"/>
    <w:pPr>
      <w:spacing w:after="120"/>
      <w:ind w:left="2275"/>
    </w:pPr>
    <w:rPr>
      <w:rFonts w:ascii="Arial" w:hAnsi="Arial"/>
      <w:spacing w:val="-5"/>
      <w:sz w:val="20"/>
      <w:szCs w:val="20"/>
    </w:rPr>
  </w:style>
  <w:style w:type="paragraph" w:styleId="ListContinue5">
    <w:name w:val="List Continue 5"/>
    <w:basedOn w:val="Normal"/>
    <w:rsid w:val="00B652FA"/>
    <w:pPr>
      <w:spacing w:after="120"/>
      <w:ind w:left="2635"/>
    </w:pPr>
    <w:rPr>
      <w:rFonts w:ascii="Arial" w:hAnsi="Arial"/>
      <w:spacing w:val="-5"/>
      <w:sz w:val="20"/>
      <w:szCs w:val="20"/>
    </w:r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  <w:rPr>
      <w:rFonts w:ascii="Arial" w:hAnsi="Arial"/>
      <w:spacing w:val="-5"/>
      <w:sz w:val="20"/>
      <w:szCs w:val="20"/>
    </w:r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  <w:rPr>
      <w:rFonts w:ascii="Arial" w:hAnsi="Arial"/>
      <w:spacing w:val="-5"/>
      <w:sz w:val="20"/>
      <w:szCs w:val="20"/>
    </w:r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  <w:rPr>
      <w:rFonts w:ascii="Arial" w:hAnsi="Arial"/>
      <w:spacing w:val="-5"/>
      <w:sz w:val="20"/>
      <w:szCs w:val="20"/>
    </w:r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  <w:rPr>
      <w:rFonts w:ascii="Arial" w:hAnsi="Arial"/>
      <w:spacing w:val="-5"/>
      <w:sz w:val="20"/>
      <w:szCs w:val="20"/>
    </w:r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  <w:rPr>
      <w:rFonts w:ascii="Arial" w:hAnsi="Arial"/>
      <w:spacing w:val="-5"/>
      <w:sz w:val="20"/>
      <w:szCs w:val="20"/>
    </w:r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3C38C5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FD67C7"/>
    <w:pPr>
      <w:ind w:left="720"/>
      <w:contextualSpacing/>
    </w:pPr>
    <w:rPr>
      <w:rFonts w:ascii="Arial" w:hAnsi="Arial"/>
      <w:spacing w:val="-5"/>
      <w:sz w:val="20"/>
      <w:szCs w:val="20"/>
    </w:rPr>
  </w:style>
  <w:style w:type="paragraph" w:customStyle="1" w:styleId="p1">
    <w:name w:val="p1"/>
    <w:basedOn w:val="Normal"/>
    <w:rsid w:val="00B3284F"/>
    <w:rPr>
      <w:rFonts w:ascii="Arial" w:hAnsi="Arial" w:cs="Arial"/>
      <w:sz w:val="15"/>
      <w:szCs w:val="15"/>
    </w:rPr>
  </w:style>
  <w:style w:type="character" w:customStyle="1" w:styleId="s1">
    <w:name w:val="s1"/>
    <w:basedOn w:val="DefaultParagraphFont"/>
    <w:rsid w:val="00B3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community.acc.com/communities/community-home/digestviewer/viewthread?GroupId=61&amp;MessageKey=11397ff4-4b79-48da-bca6-e5f0598008d2&amp;CommunityKey=b81b71ef-2345-4991-84ba-aa70b86d4dbd&amp;tab=digestviewer&amp;ReturnUrl=%2fcommunities%2fcommunity-home%2fdigestviewer%3fcommunitykey%3db81b71ef-2345-4991-84ba-aa70b86d4dbd%26tab%3ddigestviewer" TargetMode="External"/><Relationship Id="rId18" Type="http://schemas.openxmlformats.org/officeDocument/2006/relationships/hyperlink" Target="https://community.acc.com/communities/community-home/digestviewer/viewthread?GroupId=61&amp;MessageKey=d2bc9d3e-626d-45b4-a525-991b7464b3b5&amp;CommunityKey=b81b71ef-2345-4991-84ba-aa70b86d4dbd&amp;tab=digestviewer&amp;ReturnUrl=%2fcommunities%2fcommunity-home%2fdigestviewer%3fcommunitykey%3db81b71ef-2345-4991-84ba-aa70b86d4dbd%26tab%3ddigestviewer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community.acc.com/communities/community-home/digestviewer/viewthread?GroupId=61&amp;MessageKey=ec4bc104-070a-4ba3-8d54-e6c073e476ba&amp;CommunityKey=b81b71ef-2345-4991-84ba-aa70b86d4dbd&amp;tab=digestviewer&amp;ReturnUrl=%2fcommunities%2fcommunity-home%2fdigestviewer%3fcommunitykey%3db81b71ef-2345-4991-84ba-aa70b86d4dbd%26tab%3ddigestview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mmunity.acc.com/communities/community-home/digestviewer/viewthread?GroupId=61&amp;MessageKey=e7999f64-a634-4488-80d6-c1080492d520&amp;CommunityKey=b81b71ef-2345-4991-84ba-aa70b86d4dbd&amp;tab=digestviewer&amp;ReturnUrl=%2fcommunities%2fcommunity-home%2fdigestviewer%3fcommunitykey%3db81b71ef-2345-4991-84ba-aa70b86d4dbd%26tab%3ddigestviewer" TargetMode="External"/><Relationship Id="rId17" Type="http://schemas.openxmlformats.org/officeDocument/2006/relationships/hyperlink" Target="https://community.acc.com/communities/community-home/digestviewer/viewthread?GroupId=61&amp;MessageKey=b50f1638-370e-41d9-9734-f1fe37ec4e90&amp;CommunityKey=b81b71ef-2345-4991-84ba-aa70b86d4dbd&amp;tab=digestviewer&amp;ReturnUrl=%2fcommunities%2fcommunity-home%2fdigestviewer%3fcommunitykey%3db81b71ef-2345-4991-84ba-aa70b86d4dbd%26tab%3ddigestviewe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mmunity.acc.com/communities/community-home/digestviewer/viewthread?GroupId=61&amp;MessageKey=81e0e1c3-5400-46cb-a0fe-0f347eae43b9&amp;CommunityKey=b81b71ef-2345-4991-84ba-aa70b86d4dbd&amp;tab=digestviewer&amp;ReturnUrl=%2fcommunities%2fcommunity-home%2fdigestviewer%3fcommunitykey%3db81b71ef-2345-4991-84ba-aa70b86d4dbd%26tab%3ddigestviewer" TargetMode="External"/><Relationship Id="rId20" Type="http://schemas.openxmlformats.org/officeDocument/2006/relationships/hyperlink" Target="https://community.acc.com/communities/community-home/digestviewer/viewthread?GroupId=61&amp;MessageKey=b22e4849-88f4-4a54-8461-746d221efa68&amp;CommunityKey=b81b71ef-2345-4991-84ba-aa70b86d4dbd&amp;tab=digestviewer&amp;ReturnUrl=%2fcommunities%2fcommunity-home%2fdigestviewer%3fcommunitykey%3db81b71ef-2345-4991-84ba-aa70b86d4dbd%26tab%3ddigestviewe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acc.com/communities/community-home/digestviewer/viewthread?GroupId=61&amp;MessageKey=7d1b4c23-1963-4a7e-8a57-8046f1585740&amp;CommunityKey=b81b71ef-2345-4991-84ba-aa70b86d4dbd&amp;tab=digestviewer&amp;ReturnUrl=%2fcommunities%2fcommunity-home%2fdigestviewer%3fcommunitykey%3db81b71ef-2345-4991-84ba-aa70b86d4dbd%26tab%3ddigestviewer" TargetMode="External"/><Relationship Id="rId24" Type="http://schemas.openxmlformats.org/officeDocument/2006/relationships/hyperlink" Target="https://community.acc.com/communities/community-home/digestviewer/viewthread?GroupId=61&amp;MessageKey=5091b962-6fe0-40c9-87a7-9e16c317191a&amp;CommunityKey=b81b71ef-2345-4991-84ba-aa70b86d4dbd&amp;tab=digestviewer&amp;ReturnUrl=%2fcommunities%2fcommunity-home%2fdigestviewer%3fcommunitykey%3db81b71ef-2345-4991-84ba-aa70b86d4dbd%26tab%3ddigestvie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.acc.com/communities/community-home/digestviewer/viewthread?GroupId=61&amp;MessageKey=5e594c38-dc9f-4792-83de-d4b746c6e29b&amp;CommunityKey=b81b71ef-2345-4991-84ba-aa70b86d4dbd&amp;tab=digestviewer&amp;ReturnUrl=%2fcommunities%2fcommunity-home%2fdigestviewer%3fcommunitykey%3db81b71ef-2345-4991-84ba-aa70b86d4dbd%26tab%3ddigestviewer" TargetMode="External"/><Relationship Id="rId23" Type="http://schemas.openxmlformats.org/officeDocument/2006/relationships/hyperlink" Target="https://community.acc.com/communities/community-home/digestviewer/viewthread?GroupId=61&amp;MessageKey=8d31c159-cbdd-4772-bbd2-589531a18eb1&amp;CommunityKey=b81b71ef-2345-4991-84ba-aa70b86d4dbd&amp;tab=digestviewer&amp;ReturnUrl=%2fcommunities%2fcommunity-home%2fdigestviewer%3fcommunitykey%3db81b71ef-2345-4991-84ba-aa70b86d4dbd%26tab%3ddigestview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mmunity.acc.com/communities/community-home/digestviewer/viewthread?GroupId=61&amp;MessageKey=58504ec2-e69a-4db6-a329-bfb8f9c82bf8&amp;CommunityKey=b81b71ef-2345-4991-84ba-aa70b86d4dbd&amp;tab=digestviewer&amp;ReturnUrl=%2fcommunities%2fcommunity-home%2fdigestviewer%3fcommunitykey%3db81b71ef-2345-4991-84ba-aa70b86d4dbd%26tab%3ddigestviewer" TargetMode="External"/><Relationship Id="rId19" Type="http://schemas.openxmlformats.org/officeDocument/2006/relationships/hyperlink" Target="https://community.acc.com/communities/community-home/digestviewer/viewthread?GroupId=61&amp;MessageKey=93e6da12-8d6a-4e83-90ac-c9dccf5697f7&amp;CommunityKey=b81b71ef-2345-4991-84ba-aa70b86d4dbd&amp;tab=digestviewer&amp;ReturnUrl=%2fcommunities%2fcommunity-home%2fdigestviewer%3fcommunitykey%3db81b71ef-2345-4991-84ba-aa70b86d4dbd%26tab%3ddigest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acc.com/communities/community-home/digestviewer/viewthread?GroupId=61&amp;MessageKey=61d68d4b-9036-4c82-be4c-d1089e1bf640&amp;CommunityKey=b81b71ef-2345-4991-84ba-aa70b86d4dbd&amp;tab=digestviewer&amp;ReturnUrl=%2fcommunities%2fcommunity-home%2fdigestviewer%3fcommunitykey%3db81b71ef-2345-4991-84ba-aa70b86d4dbd%26tab%3ddigestviewer" TargetMode="External"/><Relationship Id="rId14" Type="http://schemas.openxmlformats.org/officeDocument/2006/relationships/hyperlink" Target="https://community.acc.com/communities/community-home/digestviewer/viewthread?GroupId=61&amp;MessageKey=54a9860b-dadf-4efb-97aa-958f23b7b002&amp;CommunityKey=b81b71ef-2345-4991-84ba-aa70b86d4dbd&amp;tab=digestviewer&amp;ReturnUrl=%2fcommunities%2fcommunity-home%2fdigestviewer%3fcommunitykey%3db81b71ef-2345-4991-84ba-aa70b86d4dbd%26tab%3ddigestviewer" TargetMode="External"/><Relationship Id="rId22" Type="http://schemas.openxmlformats.org/officeDocument/2006/relationships/hyperlink" Target="https://community.acc.com/communities/community-home/digestviewer/viewthread?GroupId=61&amp;MessageKey=62860c5a-def0-4168-ad39-6e6e57d5f0ea&amp;CommunityKey=b81b71ef-2345-4991-84ba-aa70b86d4dbd&amp;tab=digestviewer&amp;ReturnUrl=%2fcommunities%2fcommunity-home%2fdigestviewer%3fcommunitykey%3db81b71ef-2345-4991-84ba-aa70b86d4dbd%26tab%3ddigestviewer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94F8CE-1A63-455E-87DD-FDEE1EDD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2082</Words>
  <Characters>11870</Characters>
  <Application>Microsoft Office Word</Application>
  <DocSecurity>0</DocSecurity>
  <Lines>98</Lines>
  <Paragraphs>27</Paragraphs>
  <ScaleCrop>false</ScaleCrop>
  <Manager/>
  <Company>Microsoft Corporation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Nicholas Moses</cp:lastModifiedBy>
  <cp:revision>19</cp:revision>
  <cp:lastPrinted>2016-10-06T15:10:00Z</cp:lastPrinted>
  <dcterms:created xsi:type="dcterms:W3CDTF">2019-09-11T15:43:00Z</dcterms:created>
  <dcterms:modified xsi:type="dcterms:W3CDTF">2020-12-10T15:48:00Z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