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4CBFB" w14:textId="7039C619" w:rsidR="00FA3AE9" w:rsidRDefault="00FA3AE9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371B108" wp14:editId="61B3FCB6">
            <wp:simplePos x="0" y="0"/>
            <wp:positionH relativeFrom="column">
              <wp:posOffset>-51207</wp:posOffset>
            </wp:positionH>
            <wp:positionV relativeFrom="paragraph">
              <wp:posOffset>-81153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19703" w14:textId="77777777" w:rsidR="00C279A2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6E1B3BEF" w14:textId="518D7F9B" w:rsidR="00C279A2" w:rsidRPr="009D5A6B" w:rsidRDefault="00EB7F7E" w:rsidP="00C279A2">
      <w:pPr>
        <w:pStyle w:val="MessageHeaderFirst"/>
        <w:ind w:left="0" w:firstLine="0"/>
        <w:rPr>
          <w:sz w:val="28"/>
          <w:szCs w:val="28"/>
        </w:rPr>
      </w:pPr>
      <w:r w:rsidRPr="009D5A6B">
        <w:rPr>
          <w:rStyle w:val="MessageHeaderLabel"/>
          <w:rFonts w:ascii="Arial" w:hAnsi="Arial"/>
          <w:spacing w:val="-25"/>
          <w:sz w:val="28"/>
          <w:szCs w:val="28"/>
        </w:rPr>
        <w:t>T</w:t>
      </w:r>
      <w:r w:rsidRPr="009D5A6B">
        <w:rPr>
          <w:rStyle w:val="MessageHeaderLabel"/>
          <w:rFonts w:ascii="Arial" w:hAnsi="Arial"/>
          <w:sz w:val="28"/>
          <w:szCs w:val="28"/>
        </w:rPr>
        <w:t>o:</w:t>
      </w:r>
      <w:r w:rsidRPr="009D5A6B">
        <w:rPr>
          <w:sz w:val="28"/>
          <w:szCs w:val="28"/>
        </w:rPr>
        <w:tab/>
      </w:r>
      <w:r w:rsidR="00EB668C">
        <w:rPr>
          <w:sz w:val="28"/>
          <w:szCs w:val="28"/>
        </w:rPr>
        <w:t xml:space="preserve"> </w:t>
      </w:r>
      <w:r w:rsidR="006170C0">
        <w:rPr>
          <w:sz w:val="28"/>
          <w:szCs w:val="28"/>
        </w:rPr>
        <w:t xml:space="preserve">Intellectual Property </w:t>
      </w:r>
      <w:r w:rsidR="008D6D27">
        <w:rPr>
          <w:sz w:val="28"/>
          <w:szCs w:val="28"/>
        </w:rPr>
        <w:t>Network</w:t>
      </w:r>
      <w:r w:rsidR="006170C0">
        <w:rPr>
          <w:sz w:val="28"/>
          <w:szCs w:val="28"/>
        </w:rPr>
        <w:t xml:space="preserve"> Leadership</w:t>
      </w:r>
    </w:p>
    <w:p w14:paraId="25D724C1" w14:textId="56C53943" w:rsidR="00C279A2" w:rsidRPr="009D5A6B" w:rsidRDefault="00EB7F7E" w:rsidP="00C279A2">
      <w:pPr>
        <w:pStyle w:val="MessageHeader"/>
        <w:ind w:left="0" w:firstLine="0"/>
        <w:rPr>
          <w:sz w:val="28"/>
          <w:szCs w:val="28"/>
        </w:rPr>
      </w:pPr>
      <w:r w:rsidRPr="009D5A6B">
        <w:rPr>
          <w:rStyle w:val="MessageHeaderLabel"/>
          <w:rFonts w:ascii="Arial" w:hAnsi="Arial"/>
          <w:sz w:val="28"/>
          <w:szCs w:val="28"/>
        </w:rPr>
        <w:t>From:</w:t>
      </w:r>
      <w:r w:rsidRPr="009D5A6B">
        <w:rPr>
          <w:sz w:val="28"/>
          <w:szCs w:val="28"/>
        </w:rPr>
        <w:tab/>
      </w:r>
      <w:r w:rsidR="009D5A6B">
        <w:rPr>
          <w:sz w:val="28"/>
          <w:szCs w:val="28"/>
        </w:rPr>
        <w:t xml:space="preserve"> </w:t>
      </w:r>
      <w:r w:rsidR="004F2C6B">
        <w:rPr>
          <w:sz w:val="28"/>
          <w:szCs w:val="28"/>
        </w:rPr>
        <w:t>Sherwin Valerio</w:t>
      </w:r>
      <w:r w:rsidR="006170C0">
        <w:rPr>
          <w:sz w:val="28"/>
          <w:szCs w:val="28"/>
        </w:rPr>
        <w:t xml:space="preserve">, </w:t>
      </w:r>
      <w:r w:rsidR="003420B6">
        <w:rPr>
          <w:sz w:val="28"/>
          <w:szCs w:val="28"/>
        </w:rPr>
        <w:t>Networks</w:t>
      </w:r>
      <w:r w:rsidR="00A84FAA">
        <w:rPr>
          <w:sz w:val="28"/>
          <w:szCs w:val="28"/>
        </w:rPr>
        <w:t>/Chapter</w:t>
      </w:r>
      <w:r w:rsidR="006170C0">
        <w:rPr>
          <w:sz w:val="28"/>
          <w:szCs w:val="28"/>
        </w:rPr>
        <w:t xml:space="preserve"> Manager</w:t>
      </w:r>
    </w:p>
    <w:p w14:paraId="49A9CD5D" w14:textId="3C30193C" w:rsidR="00C279A2" w:rsidRPr="009D5A6B" w:rsidRDefault="00EB7F7E" w:rsidP="00C279A2">
      <w:pPr>
        <w:pStyle w:val="MessageHeader"/>
        <w:ind w:left="0" w:firstLine="0"/>
        <w:rPr>
          <w:sz w:val="28"/>
          <w:szCs w:val="28"/>
        </w:rPr>
      </w:pPr>
      <w:r w:rsidRPr="009D5A6B">
        <w:rPr>
          <w:rStyle w:val="MessageHeaderLabel"/>
          <w:rFonts w:ascii="Arial" w:hAnsi="Arial"/>
          <w:sz w:val="28"/>
          <w:szCs w:val="28"/>
        </w:rPr>
        <w:t>Date:</w:t>
      </w:r>
      <w:r w:rsidRPr="009D5A6B">
        <w:rPr>
          <w:sz w:val="28"/>
          <w:szCs w:val="28"/>
        </w:rPr>
        <w:tab/>
      </w:r>
      <w:r w:rsidR="00EB668C">
        <w:rPr>
          <w:sz w:val="28"/>
          <w:szCs w:val="28"/>
        </w:rPr>
        <w:t xml:space="preserve"> December 9</w:t>
      </w:r>
      <w:r w:rsidR="007B2EF9">
        <w:rPr>
          <w:sz w:val="28"/>
          <w:szCs w:val="28"/>
        </w:rPr>
        <w:t>, 20</w:t>
      </w:r>
      <w:r w:rsidR="004F2C6B">
        <w:rPr>
          <w:sz w:val="28"/>
          <w:szCs w:val="28"/>
        </w:rPr>
        <w:t>20</w:t>
      </w:r>
    </w:p>
    <w:p w14:paraId="12384D0B" w14:textId="14600331" w:rsidR="00C279A2" w:rsidRPr="009D5A6B" w:rsidRDefault="00EB7F7E" w:rsidP="00C279A2">
      <w:pPr>
        <w:pStyle w:val="MessageHeaderLast"/>
        <w:ind w:left="0" w:firstLine="0"/>
        <w:rPr>
          <w:sz w:val="28"/>
          <w:szCs w:val="28"/>
        </w:rPr>
      </w:pPr>
      <w:r w:rsidRPr="009D5A6B">
        <w:rPr>
          <w:rStyle w:val="MessageHeaderLabel"/>
          <w:rFonts w:ascii="Arial" w:hAnsi="Arial"/>
          <w:sz w:val="28"/>
          <w:szCs w:val="28"/>
        </w:rPr>
        <w:t>Re:</w:t>
      </w:r>
      <w:r w:rsidRPr="009D5A6B">
        <w:rPr>
          <w:sz w:val="28"/>
          <w:szCs w:val="28"/>
        </w:rPr>
        <w:tab/>
      </w:r>
      <w:r w:rsidR="00EB668C">
        <w:rPr>
          <w:sz w:val="28"/>
          <w:szCs w:val="28"/>
        </w:rPr>
        <w:t xml:space="preserve"> </w:t>
      </w:r>
      <w:r w:rsidR="007B2EF9">
        <w:rPr>
          <w:rFonts w:cs="Arial"/>
          <w:sz w:val="28"/>
          <w:szCs w:val="28"/>
        </w:rPr>
        <w:t>20</w:t>
      </w:r>
      <w:r w:rsidR="00476B29">
        <w:rPr>
          <w:rFonts w:cs="Arial"/>
          <w:sz w:val="28"/>
          <w:szCs w:val="28"/>
        </w:rPr>
        <w:t>2</w:t>
      </w:r>
      <w:r w:rsidR="004F2C6B">
        <w:rPr>
          <w:rFonts w:cs="Arial"/>
          <w:sz w:val="28"/>
          <w:szCs w:val="28"/>
        </w:rPr>
        <w:t>1</w:t>
      </w:r>
      <w:r w:rsidR="009D5A6B" w:rsidRPr="009D5A6B">
        <w:rPr>
          <w:rFonts w:cs="Arial"/>
          <w:sz w:val="28"/>
          <w:szCs w:val="28"/>
        </w:rPr>
        <w:t xml:space="preserve"> Annual Meeting Call for Program Data</w:t>
      </w:r>
    </w:p>
    <w:p w14:paraId="73D7B2D1" w14:textId="3A530C70" w:rsidR="00EB668C" w:rsidRDefault="00EB668C" w:rsidP="00EB668C">
      <w:pPr>
        <w:pStyle w:val="Heading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anticipation of the 2021</w:t>
      </w:r>
      <w:r w:rsidRPr="00AC50A6">
        <w:rPr>
          <w:rFonts w:ascii="Arial" w:hAnsi="Arial" w:cs="Arial"/>
          <w:sz w:val="24"/>
          <w:szCs w:val="24"/>
        </w:rPr>
        <w:t xml:space="preserve"> Annual Meeting Call fo</w:t>
      </w:r>
      <w:r>
        <w:rPr>
          <w:rFonts w:ascii="Arial" w:hAnsi="Arial" w:cs="Arial"/>
          <w:sz w:val="24"/>
          <w:szCs w:val="24"/>
        </w:rPr>
        <w:t>r Programs</w:t>
      </w:r>
      <w:r w:rsidRPr="00AC50A6">
        <w:rPr>
          <w:rFonts w:ascii="Arial" w:hAnsi="Arial" w:cs="Arial"/>
          <w:sz w:val="24"/>
          <w:szCs w:val="24"/>
        </w:rPr>
        <w:t>, below you will find data to aid the E</w:t>
      </w:r>
      <w:r>
        <w:rPr>
          <w:rFonts w:ascii="Arial" w:hAnsi="Arial" w:cs="Arial"/>
          <w:sz w:val="24"/>
          <w:szCs w:val="24"/>
        </w:rPr>
        <w:t>mployment and Labor Law Network</w:t>
      </w:r>
      <w:r w:rsidRPr="00AC50A6">
        <w:rPr>
          <w:rFonts w:ascii="Arial" w:hAnsi="Arial" w:cs="Arial"/>
          <w:sz w:val="24"/>
          <w:szCs w:val="24"/>
        </w:rPr>
        <w:t xml:space="preserve"> in developing its program submissions. All data provided is representative of activity from Octo</w:t>
      </w:r>
      <w:r>
        <w:rPr>
          <w:rFonts w:ascii="Arial" w:hAnsi="Arial" w:cs="Arial"/>
          <w:sz w:val="24"/>
          <w:szCs w:val="24"/>
        </w:rPr>
        <w:t>ber 1, 2018 through September 30, 2020.</w:t>
      </w:r>
    </w:p>
    <w:p w14:paraId="1F110785" w14:textId="77777777" w:rsidR="00EB668C" w:rsidRPr="00EB668C" w:rsidRDefault="00EB668C" w:rsidP="00EB668C">
      <w:pPr>
        <w:pStyle w:val="BodyText"/>
      </w:pPr>
    </w:p>
    <w:p w14:paraId="62CC7B4D" w14:textId="27272186" w:rsidR="009D5A6B" w:rsidRPr="00D216A4" w:rsidRDefault="009D5A6B" w:rsidP="009D5A6B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4F2C6B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4F2C6B">
        <w:rPr>
          <w:caps/>
          <w:sz w:val="24"/>
          <w:szCs w:val="24"/>
        </w:rPr>
        <w:t>20</w:t>
      </w:r>
      <w:r w:rsidRPr="00D216A4">
        <w:rPr>
          <w:caps/>
          <w:sz w:val="24"/>
          <w:szCs w:val="24"/>
        </w:rPr>
        <w:t xml:space="preserve"> Annual Meeting </w:t>
      </w:r>
      <w:r w:rsidR="006170C0">
        <w:rPr>
          <w:caps/>
          <w:sz w:val="24"/>
          <w:szCs w:val="24"/>
        </w:rPr>
        <w:t>Intellectual Property</w:t>
      </w:r>
      <w:r w:rsidRPr="00D216A4">
        <w:rPr>
          <w:caps/>
          <w:sz w:val="24"/>
          <w:szCs w:val="24"/>
        </w:rPr>
        <w:t xml:space="preserve"> Session </w:t>
      </w:r>
      <w:r w:rsidR="00FF3D27" w:rsidRPr="00D216A4">
        <w:rPr>
          <w:caps/>
          <w:sz w:val="24"/>
          <w:szCs w:val="24"/>
        </w:rPr>
        <w:t>ATTENDANCE AND</w:t>
      </w:r>
      <w:r w:rsidR="00FF3D27">
        <w:rPr>
          <w:caps/>
          <w:sz w:val="24"/>
          <w:szCs w:val="24"/>
        </w:rPr>
        <w:t xml:space="preserve"> Program status</w:t>
      </w:r>
    </w:p>
    <w:tbl>
      <w:tblPr>
        <w:tblStyle w:val="TableGrid"/>
        <w:tblW w:w="11328" w:type="dxa"/>
        <w:tblLook w:val="04A0" w:firstRow="1" w:lastRow="0" w:firstColumn="1" w:lastColumn="0" w:noHBand="0" w:noVBand="1"/>
      </w:tblPr>
      <w:tblGrid>
        <w:gridCol w:w="8314"/>
        <w:gridCol w:w="1507"/>
        <w:gridCol w:w="1507"/>
      </w:tblGrid>
      <w:tr w:rsidR="009D5A6B" w:rsidRPr="00D216A4" w14:paraId="44A57720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000000"/>
          </w:tcPr>
          <w:p w14:paraId="59A314E9" w14:textId="77777777" w:rsidR="009D5A6B" w:rsidRPr="00D216A4" w:rsidRDefault="009D5A6B" w:rsidP="00C279A2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000000"/>
          </w:tcPr>
          <w:p w14:paraId="6066039D" w14:textId="153AE4F6" w:rsidR="009D5A6B" w:rsidRPr="00D216A4" w:rsidRDefault="009D5A6B" w:rsidP="00C279A2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Attendees</w:t>
            </w:r>
            <w:r w:rsidR="00FF3D27">
              <w:rPr>
                <w:b/>
                <w:sz w:val="24"/>
                <w:szCs w:val="24"/>
              </w:rPr>
              <w:t>/ Status</w:t>
            </w:r>
          </w:p>
        </w:tc>
      </w:tr>
      <w:tr w:rsidR="006A2EB4" w:rsidRPr="00D216A4" w14:paraId="2E808733" w14:textId="77777777" w:rsidTr="0014455C">
        <w:trPr>
          <w:gridAfter w:val="1"/>
          <w:wAfter w:w="1507" w:type="dxa"/>
          <w:trHeight w:val="487"/>
        </w:trPr>
        <w:tc>
          <w:tcPr>
            <w:tcW w:w="9821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338C7566" w14:textId="30C22CCF" w:rsidR="006A2EB4" w:rsidRPr="00FF3D27" w:rsidRDefault="006A2EB4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</w:t>
            </w:r>
            <w:r w:rsidR="004F2C6B">
              <w:rPr>
                <w:rFonts w:cs="Arial"/>
                <w:b/>
                <w:sz w:val="24"/>
                <w:szCs w:val="24"/>
              </w:rPr>
              <w:t>20 (pre-registered numbers)</w:t>
            </w:r>
          </w:p>
        </w:tc>
      </w:tr>
      <w:tr w:rsidR="002667D3" w:rsidRPr="00FF3D27" w14:paraId="428CBA87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3518E3B2" w14:textId="678D575E" w:rsidR="002667D3" w:rsidRPr="00F620C9" w:rsidRDefault="00A84FAA" w:rsidP="00D82C24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bookmarkStart w:id="0" w:name="_Hlk51077007"/>
            <w:r w:rsidRPr="00A84FAA">
              <w:rPr>
                <w:rFonts w:ascii="inherit" w:hAnsi="inherit"/>
              </w:rPr>
              <w:t>Current Trends and Developments in Trade Secret Law for In-House Counsel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16E3F723" w14:textId="29F7CA38" w:rsidR="002667D3" w:rsidRPr="00FF3D27" w:rsidRDefault="00A84FAA" w:rsidP="00D82C2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241</w:t>
            </w:r>
          </w:p>
        </w:tc>
      </w:tr>
      <w:tr w:rsidR="004F2C6B" w:rsidRPr="00FF3D27" w14:paraId="0C7A2BAA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0FA07D20" w14:textId="3A3D5E3C" w:rsidR="004F2C6B" w:rsidRPr="00F620C9" w:rsidRDefault="00A84FAA" w:rsidP="00D82C24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A84FAA">
              <w:rPr>
                <w:rFonts w:ascii="inherit" w:hAnsi="inherit"/>
              </w:rPr>
              <w:t>Hiring, Becoming, or Aspiring to Become Chief IP Counsel? How to Prepare for and Succeed as the Corporate Head of IP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1AECE0D6" w14:textId="5793AA6A" w:rsidR="004F2C6B" w:rsidRPr="00FF3D27" w:rsidRDefault="00A84FAA" w:rsidP="00D82C2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82</w:t>
            </w:r>
          </w:p>
        </w:tc>
      </w:tr>
      <w:bookmarkEnd w:id="0"/>
      <w:tr w:rsidR="002667D3" w:rsidRPr="00FF3D27" w14:paraId="570E9721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476DFF2A" w14:textId="68F6A9D9" w:rsidR="002667D3" w:rsidRPr="00F620C9" w:rsidRDefault="00E708E5" w:rsidP="00D82C24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E708E5">
              <w:rPr>
                <w:rFonts w:ascii="inherit" w:hAnsi="inherit"/>
              </w:rPr>
              <w:t>The Basics of IP for Start-ups and Other Small Enterprises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1E2DB94" w14:textId="4B750F20" w:rsidR="002667D3" w:rsidRPr="00FF3D27" w:rsidRDefault="00E708E5" w:rsidP="00D82C2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86</w:t>
            </w:r>
          </w:p>
        </w:tc>
      </w:tr>
      <w:tr w:rsidR="002667D3" w:rsidRPr="00FF3D27" w14:paraId="03EBF6CD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3A58E249" w14:textId="679FC34E" w:rsidR="002667D3" w:rsidRPr="00F620C9" w:rsidRDefault="002667D3" w:rsidP="00D82C24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ascii="inherit" w:hAnsi="inherit"/>
              </w:rPr>
              <w:t>IP Indemnification Provisions, Hot Topics and Negotiating Strategies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7EEDCD5A" w14:textId="7CAA378F" w:rsidR="002667D3" w:rsidRPr="00FF3D27" w:rsidRDefault="00A84FAA" w:rsidP="00D82C2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Deferred</w:t>
            </w:r>
          </w:p>
        </w:tc>
      </w:tr>
      <w:tr w:rsidR="002667D3" w:rsidRPr="00FF3D27" w14:paraId="4C50E56A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0E67C8C1" w14:textId="2328E09A" w:rsidR="002667D3" w:rsidRPr="00F620C9" w:rsidRDefault="002667D3" w:rsidP="00D82C24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ascii="inherit" w:hAnsi="inherit"/>
              </w:rPr>
              <w:t>Practical IP Litigation Management in the Social Media Age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E8D4305" w14:textId="47AF17D4" w:rsidR="002667D3" w:rsidRPr="00FF3D27" w:rsidRDefault="00A84FAA" w:rsidP="00D82C2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Deferred</w:t>
            </w:r>
          </w:p>
        </w:tc>
      </w:tr>
      <w:tr w:rsidR="002667D3" w:rsidRPr="00FF3D27" w14:paraId="46D02644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4F502CE5" w14:textId="37F57124" w:rsidR="002667D3" w:rsidRPr="00F620C9" w:rsidRDefault="002667D3" w:rsidP="00D82C24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ascii="inherit" w:hAnsi="inherit"/>
              </w:rPr>
              <w:t>Software IP Questions you were afraid to ask: From Open Source to Artificial Intelligence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1D72C6D" w14:textId="711D0EB7" w:rsidR="002667D3" w:rsidRPr="00FF3D27" w:rsidRDefault="002667D3" w:rsidP="00D82C2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2667D3" w:rsidRPr="00FF3D27" w14:paraId="5F9D0AFE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6BF6760B" w14:textId="4AD3509A" w:rsidR="002667D3" w:rsidRPr="00F620C9" w:rsidRDefault="002667D3" w:rsidP="00D82C24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ascii="inherit" w:hAnsi="inherit"/>
              </w:rPr>
              <w:t>Embedding IP into your Organization's Corporate Fabric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91B83D2" w14:textId="2F52F0F8" w:rsidR="002667D3" w:rsidRPr="00FF3D27" w:rsidRDefault="002667D3" w:rsidP="00D82C2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2667D3" w:rsidRPr="00FF3D27" w14:paraId="130424BF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2E4350F7" w14:textId="50F05829" w:rsidR="002667D3" w:rsidRPr="00F620C9" w:rsidRDefault="002667D3" w:rsidP="00D82C24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ascii="inherit" w:hAnsi="inherit"/>
              </w:rPr>
              <w:t>Middle East IP Update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785CC86" w14:textId="5FCD8903" w:rsidR="002667D3" w:rsidRPr="00FF3D27" w:rsidRDefault="002667D3" w:rsidP="00D82C2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4F2C6B" w:rsidRPr="00D216A4" w14:paraId="4A85304F" w14:textId="77777777" w:rsidTr="0014455C">
        <w:trPr>
          <w:gridAfter w:val="1"/>
          <w:wAfter w:w="1507" w:type="dxa"/>
          <w:trHeight w:val="487"/>
        </w:trPr>
        <w:tc>
          <w:tcPr>
            <w:tcW w:w="9821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02DBEFA5" w14:textId="5F2F2523" w:rsidR="004F2C6B" w:rsidRDefault="004F2C6B" w:rsidP="00B23DE9">
            <w:pPr>
              <w:pStyle w:val="BodyText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2019</w:t>
            </w:r>
            <w:r w:rsidR="002667D3">
              <w:rPr>
                <w:rFonts w:cs="Arial"/>
                <w:b/>
                <w:sz w:val="24"/>
                <w:szCs w:val="24"/>
              </w:rPr>
              <w:t xml:space="preserve"> </w:t>
            </w:r>
            <w:r w:rsidR="002667D3">
              <w:rPr>
                <w:b/>
                <w:sz w:val="24"/>
              </w:rPr>
              <w:t>(Final attendance numbers)</w:t>
            </w:r>
          </w:p>
        </w:tc>
      </w:tr>
      <w:tr w:rsidR="006A2EB4" w:rsidRPr="00D216A4" w14:paraId="397A9E74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55C90954" w14:textId="5130836F" w:rsidR="006A2EB4" w:rsidRPr="00F620C9" w:rsidRDefault="006A2EB4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6A2EB4">
              <w:rPr>
                <w:rFonts w:cs="Arial"/>
                <w:sz w:val="24"/>
                <w:szCs w:val="24"/>
              </w:rPr>
              <w:lastRenderedPageBreak/>
              <w:t>What Every In-house Counsel Needs to Know About Global Intellectual Property</w:t>
            </w:r>
            <w:r>
              <w:rPr>
                <w:rFonts w:cs="Arial"/>
                <w:sz w:val="24"/>
                <w:szCs w:val="24"/>
              </w:rPr>
              <w:t xml:space="preserve"> (Part 1)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1C77C2D8" w14:textId="07E64750" w:rsidR="006A2EB4" w:rsidRPr="00FF3D27" w:rsidRDefault="00740EC7" w:rsidP="00B23DE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99</w:t>
            </w:r>
          </w:p>
        </w:tc>
      </w:tr>
      <w:tr w:rsidR="006A2EB4" w:rsidRPr="00D216A4" w14:paraId="11FE696A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301D94A5" w14:textId="58C90F2B" w:rsidR="006A2EB4" w:rsidRPr="00F620C9" w:rsidRDefault="006A2EB4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bookmarkStart w:id="1" w:name="_Hlk51076672"/>
            <w:r w:rsidRPr="006A2EB4">
              <w:rPr>
                <w:rFonts w:cs="Arial"/>
                <w:sz w:val="24"/>
                <w:szCs w:val="24"/>
              </w:rPr>
              <w:t>What every In-House Counsel needs to know about Global Intellectual Property (Part 2)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79DC42DF" w14:textId="768889E3" w:rsidR="006A2EB4" w:rsidRPr="00FF3D27" w:rsidRDefault="00740EC7" w:rsidP="00B23DE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99</w:t>
            </w:r>
          </w:p>
        </w:tc>
      </w:tr>
      <w:bookmarkEnd w:id="1"/>
      <w:tr w:rsidR="006A2EB4" w:rsidRPr="00D216A4" w14:paraId="168522EC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681EB97C" w14:textId="7C76960B" w:rsidR="006A2EB4" w:rsidRPr="00F620C9" w:rsidRDefault="006A2EB4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6A2EB4">
              <w:rPr>
                <w:rFonts w:cs="Arial"/>
                <w:sz w:val="24"/>
                <w:szCs w:val="24"/>
              </w:rPr>
              <w:t>The Nuts and Bolts of Managing an In-house IP Practice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7DBEA9CD" w14:textId="09D28664" w:rsidR="006A2EB4" w:rsidRPr="00FF3D27" w:rsidRDefault="00740EC7" w:rsidP="00B23DE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92</w:t>
            </w:r>
          </w:p>
        </w:tc>
      </w:tr>
      <w:tr w:rsidR="0014455C" w:rsidRPr="00D216A4" w14:paraId="2CB15011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0C997E8C" w14:textId="45D15404" w:rsidR="0014455C" w:rsidRPr="00F620C9" w:rsidRDefault="0014455C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6A2EB4">
              <w:rPr>
                <w:rFonts w:cs="Arial"/>
                <w:sz w:val="24"/>
                <w:szCs w:val="24"/>
              </w:rPr>
              <w:t>Drafting Ethical Cease &amp; Desist Letters for Trademark and Copyright Infringers.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779866EB" w14:textId="0A9101C9" w:rsidR="0014455C" w:rsidRPr="00FF3D27" w:rsidRDefault="0014455C" w:rsidP="00B23DE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86</w:t>
            </w:r>
          </w:p>
        </w:tc>
      </w:tr>
      <w:tr w:rsidR="0014455C" w:rsidRPr="00D216A4" w14:paraId="2C29B5C0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2959580C" w14:textId="24352CF2" w:rsidR="0014455C" w:rsidRPr="00F620C9" w:rsidRDefault="0014455C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6A2EB4">
              <w:rPr>
                <w:rFonts w:cs="Arial"/>
                <w:sz w:val="24"/>
                <w:szCs w:val="24"/>
              </w:rPr>
              <w:t>Intellectual Property Issues facing companies as they come to grips with Disruptive Technologies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3937CDA" w14:textId="2709FCC2" w:rsidR="0014455C" w:rsidRPr="00FF3D27" w:rsidRDefault="0014455C" w:rsidP="00B23DE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72C89C21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572E5892" w14:textId="39532EB9" w:rsidR="0014455C" w:rsidRPr="00F620C9" w:rsidRDefault="0014455C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6A2EB4">
              <w:rPr>
                <w:rFonts w:cs="Arial"/>
                <w:sz w:val="24"/>
                <w:szCs w:val="24"/>
              </w:rPr>
              <w:t>What every In-</w:t>
            </w:r>
            <w:proofErr w:type="spellStart"/>
            <w:r w:rsidRPr="006A2EB4">
              <w:rPr>
                <w:rFonts w:cs="Arial"/>
                <w:sz w:val="24"/>
                <w:szCs w:val="24"/>
              </w:rPr>
              <w:t>Houe</w:t>
            </w:r>
            <w:proofErr w:type="spellEnd"/>
            <w:r w:rsidRPr="006A2EB4">
              <w:rPr>
                <w:rFonts w:cs="Arial"/>
                <w:sz w:val="24"/>
                <w:szCs w:val="24"/>
              </w:rPr>
              <w:t xml:space="preserve"> Counsel needs to know re: IP prosecution, infringement, and litigation in China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2808C05E" w14:textId="3B6A6877" w:rsidR="0014455C" w:rsidRPr="00FF3D27" w:rsidRDefault="0014455C" w:rsidP="00B23DE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5D212DAD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151A90DB" w14:textId="4DA2E051" w:rsidR="0014455C" w:rsidRPr="00F620C9" w:rsidRDefault="0014455C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6A2EB4">
              <w:rPr>
                <w:rFonts w:cs="Arial"/>
                <w:sz w:val="24"/>
                <w:szCs w:val="24"/>
              </w:rPr>
              <w:t xml:space="preserve">What's been </w:t>
            </w:r>
            <w:proofErr w:type="spellStart"/>
            <w:r w:rsidRPr="006A2EB4">
              <w:rPr>
                <w:rFonts w:cs="Arial"/>
                <w:sz w:val="24"/>
                <w:szCs w:val="24"/>
              </w:rPr>
              <w:t>happending</w:t>
            </w:r>
            <w:proofErr w:type="spellEnd"/>
            <w:r w:rsidRPr="006A2EB4">
              <w:rPr>
                <w:rFonts w:cs="Arial"/>
                <w:sz w:val="24"/>
                <w:szCs w:val="24"/>
              </w:rPr>
              <w:t xml:space="preserve"> north of the 49th?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733E692" w14:textId="7FCF2AC8" w:rsidR="0014455C" w:rsidRPr="00FF3D27" w:rsidRDefault="0014455C" w:rsidP="00B23DE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1900B665" w14:textId="77777777" w:rsidTr="005F44D7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B3B3B3"/>
          </w:tcPr>
          <w:p w14:paraId="5CE2405B" w14:textId="7BD0E0D7" w:rsidR="0014455C" w:rsidRPr="00F620C9" w:rsidRDefault="0014455C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2018 (Final attendance numbers)</w:t>
            </w:r>
          </w:p>
        </w:tc>
        <w:tc>
          <w:tcPr>
            <w:tcW w:w="1507" w:type="dxa"/>
          </w:tcPr>
          <w:p w14:paraId="6ECBBC39" w14:textId="174E83DB" w:rsidR="0014455C" w:rsidRPr="00FF3D27" w:rsidRDefault="0014455C" w:rsidP="00B23DE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455C" w:rsidRPr="00D216A4" w14:paraId="6008E80A" w14:textId="77777777" w:rsidTr="005F44D7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4B61F285" w14:textId="3DDC497E" w:rsidR="0014455C" w:rsidRPr="00F620C9" w:rsidRDefault="0014455C" w:rsidP="00B23DE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0C9">
              <w:rPr>
                <w:rFonts w:cs="Arial"/>
                <w:sz w:val="24"/>
                <w:szCs w:val="24"/>
              </w:rPr>
              <w:t>Intellectual Property for In-house, from Soup to Nuts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07A1AA24" w14:textId="46FC3992" w:rsidR="0014455C" w:rsidRPr="00FF3D27" w:rsidRDefault="0014455C" w:rsidP="00B23DE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113</w:t>
            </w:r>
          </w:p>
        </w:tc>
      </w:tr>
      <w:tr w:rsidR="0014455C" w:rsidRPr="00D216A4" w14:paraId="1E51DDD9" w14:textId="3AAED459" w:rsidTr="0014455C">
        <w:trPr>
          <w:trHeight w:val="487"/>
        </w:trPr>
        <w:tc>
          <w:tcPr>
            <w:tcW w:w="98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CCC2E" w14:textId="15DF4F6D" w:rsidR="0014455C" w:rsidRPr="00FF3D27" w:rsidRDefault="0014455C" w:rsidP="00C279A2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0C9">
              <w:rPr>
                <w:rFonts w:cs="Arial"/>
                <w:sz w:val="24"/>
                <w:szCs w:val="24"/>
              </w:rPr>
              <w:t>Intellectual Property Protection for Emerging Technologies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0153957" w14:textId="3D552530" w:rsidR="0014455C" w:rsidRPr="00D216A4" w:rsidRDefault="0014455C">
            <w:pPr>
              <w:ind w:left="0"/>
            </w:pPr>
            <w:r>
              <w:rPr>
                <w:rFonts w:cs="Arial"/>
                <w:sz w:val="24"/>
                <w:szCs w:val="24"/>
              </w:rPr>
              <w:t>286</w:t>
            </w:r>
          </w:p>
        </w:tc>
      </w:tr>
      <w:tr w:rsidR="0014455C" w:rsidRPr="00D216A4" w14:paraId="2FD97147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45B89F34" w14:textId="0AE75910" w:rsidR="0014455C" w:rsidRPr="00F620C9" w:rsidRDefault="0014455C" w:rsidP="00F620C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0C9">
              <w:rPr>
                <w:rFonts w:cs="Arial"/>
                <w:sz w:val="24"/>
                <w:szCs w:val="24"/>
              </w:rPr>
              <w:t>Trademark Harmony - How Can We Use Each Other’s Marks in this Global Marketplace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6C071C5" w14:textId="70AC7E2A" w:rsidR="0014455C" w:rsidRPr="00FF3D27" w:rsidRDefault="0014455C" w:rsidP="006A2EB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114</w:t>
            </w:r>
          </w:p>
        </w:tc>
      </w:tr>
      <w:tr w:rsidR="0014455C" w:rsidRPr="00D216A4" w14:paraId="3235F6D0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43DB7B0C" w14:textId="1ECC23A8" w:rsidR="0014455C" w:rsidRPr="00F620C9" w:rsidRDefault="0014455C" w:rsidP="00F620C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0C9">
              <w:rPr>
                <w:rFonts w:cs="Arial"/>
                <w:sz w:val="24"/>
                <w:szCs w:val="24"/>
              </w:rPr>
              <w:t>Patents: Mini Boot Camp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60C556C" w14:textId="1A4F303C" w:rsidR="0014455C" w:rsidRPr="00FF3D27" w:rsidRDefault="0014455C" w:rsidP="006A2EB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179</w:t>
            </w:r>
          </w:p>
        </w:tc>
      </w:tr>
      <w:tr w:rsidR="0014455C" w:rsidRPr="00D216A4" w14:paraId="726FE870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5B4A5696" w14:textId="1AC11640" w:rsidR="0014455C" w:rsidRPr="00F620C9" w:rsidRDefault="0014455C" w:rsidP="00F620C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0C9">
              <w:rPr>
                <w:rFonts w:cs="Arial"/>
                <w:sz w:val="24"/>
                <w:szCs w:val="24"/>
              </w:rPr>
              <w:t>Mock Oral Argument at Trademark Trial and Appeal Board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DE8AE34" w14:textId="3924641B" w:rsidR="0014455C" w:rsidRPr="00FF3D27" w:rsidRDefault="0014455C" w:rsidP="006A2EB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5CEFCE3A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4A3511F0" w14:textId="49C465F1" w:rsidR="0014455C" w:rsidRPr="00F620C9" w:rsidRDefault="0014455C" w:rsidP="00F620C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0C9">
              <w:rPr>
                <w:rFonts w:cs="Arial"/>
                <w:sz w:val="24"/>
                <w:szCs w:val="24"/>
              </w:rPr>
              <w:t>Copyright Issues in the Institutional Setting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70FE0AC3" w14:textId="06118D78" w:rsidR="0014455C" w:rsidRPr="00FF3D27" w:rsidRDefault="0014455C" w:rsidP="006A2EB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6414884A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76C77CC8" w14:textId="6E7A52EF" w:rsidR="0014455C" w:rsidRPr="00F620C9" w:rsidRDefault="0014455C" w:rsidP="00F620C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0C9">
              <w:rPr>
                <w:rFonts w:cs="Arial"/>
                <w:sz w:val="24"/>
                <w:szCs w:val="24"/>
              </w:rPr>
              <w:t>Who Has the Privilege when handling Intellectual Property matters?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E0AEC35" w14:textId="72F1897B" w:rsidR="0014455C" w:rsidRPr="00FF3D27" w:rsidRDefault="0014455C" w:rsidP="006A2EB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01ABA252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02BD7353" w14:textId="6658D86C" w:rsidR="0014455C" w:rsidRPr="00F620C9" w:rsidRDefault="0014455C" w:rsidP="00F620C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</w:t>
            </w:r>
            <w:r w:rsidRPr="00F620C9">
              <w:rPr>
                <w:rFonts w:cs="Arial"/>
                <w:sz w:val="24"/>
                <w:szCs w:val="24"/>
              </w:rPr>
              <w:t>ntellectual Property Issues in Government Contracts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8FDF4F8" w14:textId="62EE7C40" w:rsidR="0014455C" w:rsidRPr="00FF3D27" w:rsidRDefault="0014455C" w:rsidP="006A2EB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5ECCCF7F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auto"/>
          </w:tcPr>
          <w:p w14:paraId="307ECE33" w14:textId="09CE6CC6" w:rsidR="0014455C" w:rsidRPr="00F620C9" w:rsidRDefault="0014455C" w:rsidP="00F620C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0C9">
              <w:rPr>
                <w:rFonts w:cs="Arial"/>
                <w:sz w:val="24"/>
                <w:szCs w:val="24"/>
              </w:rPr>
              <w:t>Benchmark Best Patent Practices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0BB94D07" w14:textId="6F1C4574" w:rsidR="0014455C" w:rsidRPr="00FF3D27" w:rsidRDefault="0014455C" w:rsidP="006A2EB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3945BD9A" w14:textId="77777777" w:rsidTr="005F44D7">
        <w:trPr>
          <w:gridAfter w:val="1"/>
          <w:wAfter w:w="1507" w:type="dxa"/>
          <w:trHeight w:val="487"/>
        </w:trPr>
        <w:tc>
          <w:tcPr>
            <w:tcW w:w="8314" w:type="dxa"/>
            <w:tcBorders>
              <w:bottom w:val="single" w:sz="4" w:space="0" w:color="auto"/>
            </w:tcBorders>
            <w:shd w:val="clear" w:color="auto" w:fill="B3B3B3"/>
          </w:tcPr>
          <w:p w14:paraId="72411FB0" w14:textId="0BA82D30" w:rsidR="0014455C" w:rsidRPr="00F620C9" w:rsidRDefault="0014455C" w:rsidP="00F620C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b/>
                <w:sz w:val="24"/>
                <w:szCs w:val="24"/>
              </w:rPr>
              <w:t xml:space="preserve">2017 </w:t>
            </w:r>
            <w:r>
              <w:rPr>
                <w:rFonts w:cs="Arial"/>
                <w:b/>
                <w:sz w:val="24"/>
                <w:szCs w:val="24"/>
              </w:rPr>
              <w:t>(Final attendance numbers)</w:t>
            </w:r>
          </w:p>
        </w:tc>
        <w:tc>
          <w:tcPr>
            <w:tcW w:w="1507" w:type="dxa"/>
          </w:tcPr>
          <w:p w14:paraId="47699A00" w14:textId="4DDA4FAC" w:rsidR="0014455C" w:rsidRPr="00FF3D27" w:rsidRDefault="0014455C" w:rsidP="006A2EB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455C" w:rsidRPr="00D216A4" w14:paraId="1F5BA847" w14:textId="77777777" w:rsidTr="005F44D7">
        <w:trPr>
          <w:gridAfter w:val="1"/>
          <w:wAfter w:w="1507" w:type="dxa"/>
          <w:trHeight w:val="487"/>
        </w:trPr>
        <w:tc>
          <w:tcPr>
            <w:tcW w:w="8314" w:type="dxa"/>
            <w:shd w:val="clear" w:color="auto" w:fill="auto"/>
          </w:tcPr>
          <w:p w14:paraId="4387A159" w14:textId="70AAF3AF" w:rsidR="0014455C" w:rsidRPr="00F620C9" w:rsidRDefault="0014455C" w:rsidP="00F620C9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Global IP Litigation Strategies: What to Do When Defending Globally</w:t>
            </w:r>
          </w:p>
        </w:tc>
        <w:tc>
          <w:tcPr>
            <w:tcW w:w="1507" w:type="dxa"/>
            <w:shd w:val="clear" w:color="auto" w:fill="auto"/>
          </w:tcPr>
          <w:p w14:paraId="4545BC75" w14:textId="69538139" w:rsidR="0014455C" w:rsidRPr="00FF3D27" w:rsidRDefault="0014455C" w:rsidP="006A2EB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81</w:t>
            </w:r>
          </w:p>
        </w:tc>
      </w:tr>
      <w:tr w:rsidR="0014455C" w:rsidRPr="00D216A4" w14:paraId="2654F039" w14:textId="182D8E72" w:rsidTr="0014455C">
        <w:trPr>
          <w:trHeight w:val="487"/>
        </w:trPr>
        <w:tc>
          <w:tcPr>
            <w:tcW w:w="9821" w:type="dxa"/>
            <w:gridSpan w:val="2"/>
            <w:shd w:val="clear" w:color="auto" w:fill="auto"/>
          </w:tcPr>
          <w:p w14:paraId="4120E744" w14:textId="3B99EF56" w:rsidR="0014455C" w:rsidRPr="00FF3D27" w:rsidRDefault="0014455C" w:rsidP="00C279A2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pacing w:val="0"/>
                <w:sz w:val="24"/>
                <w:szCs w:val="24"/>
              </w:rPr>
              <w:t>IP Considerations in M&amp;A Transactions</w:t>
            </w:r>
          </w:p>
        </w:tc>
        <w:tc>
          <w:tcPr>
            <w:tcW w:w="1507" w:type="dxa"/>
            <w:shd w:val="clear" w:color="auto" w:fill="auto"/>
          </w:tcPr>
          <w:p w14:paraId="26BE7452" w14:textId="05C1DE95" w:rsidR="0014455C" w:rsidRPr="00D216A4" w:rsidRDefault="0014455C">
            <w:pPr>
              <w:ind w:left="0"/>
            </w:pPr>
            <w:r w:rsidRPr="00FF3D27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64</w:t>
            </w:r>
          </w:p>
        </w:tc>
      </w:tr>
      <w:tr w:rsidR="0014455C" w:rsidRPr="00D216A4" w14:paraId="125EF19E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shd w:val="clear" w:color="auto" w:fill="auto"/>
          </w:tcPr>
          <w:p w14:paraId="42BFF70E" w14:textId="73E20F82" w:rsidR="0014455C" w:rsidRPr="00FF3D27" w:rsidRDefault="0014455C" w:rsidP="00711B33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pacing w:val="0"/>
                <w:sz w:val="24"/>
                <w:szCs w:val="24"/>
              </w:rPr>
              <w:t>Managing Your IP Portfolio</w:t>
            </w:r>
          </w:p>
        </w:tc>
        <w:tc>
          <w:tcPr>
            <w:tcW w:w="1507" w:type="dxa"/>
            <w:shd w:val="clear" w:color="auto" w:fill="auto"/>
          </w:tcPr>
          <w:p w14:paraId="5975AC46" w14:textId="5BA2B95C" w:rsidR="0014455C" w:rsidRPr="00FF3D27" w:rsidRDefault="0014455C" w:rsidP="00FF3D2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10</w:t>
            </w:r>
          </w:p>
        </w:tc>
      </w:tr>
      <w:tr w:rsidR="0014455C" w:rsidRPr="00D216A4" w14:paraId="29FA10FE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shd w:val="clear" w:color="auto" w:fill="auto"/>
          </w:tcPr>
          <w:p w14:paraId="5CAF2611" w14:textId="079E4DDD" w:rsidR="0014455C" w:rsidRPr="00FF3D27" w:rsidRDefault="0014455C" w:rsidP="00711B33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Key Issues in Negotiating and Drafting Subscription Services Agreements</w:t>
            </w:r>
          </w:p>
        </w:tc>
        <w:tc>
          <w:tcPr>
            <w:tcW w:w="1507" w:type="dxa"/>
            <w:shd w:val="clear" w:color="auto" w:fill="auto"/>
          </w:tcPr>
          <w:p w14:paraId="46544579" w14:textId="16B038BA" w:rsidR="0014455C" w:rsidRPr="00FF3D27" w:rsidRDefault="0014455C" w:rsidP="00F620C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297</w:t>
            </w:r>
          </w:p>
        </w:tc>
      </w:tr>
      <w:tr w:rsidR="0014455C" w:rsidRPr="00D216A4" w14:paraId="1E8CAA85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shd w:val="clear" w:color="auto" w:fill="auto"/>
          </w:tcPr>
          <w:p w14:paraId="56E46703" w14:textId="337F786F" w:rsidR="0014455C" w:rsidRPr="00FF3D27" w:rsidRDefault="0014455C" w:rsidP="00711B33">
            <w:pPr>
              <w:pStyle w:val="BodyText"/>
              <w:ind w:left="0"/>
              <w:rPr>
                <w:rFonts w:cs="Arial"/>
                <w:b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lastRenderedPageBreak/>
              <w:t>Technology and IP License Agreements</w:t>
            </w:r>
          </w:p>
        </w:tc>
        <w:tc>
          <w:tcPr>
            <w:tcW w:w="1507" w:type="dxa"/>
            <w:shd w:val="clear" w:color="auto" w:fill="auto"/>
          </w:tcPr>
          <w:p w14:paraId="1350D1C8" w14:textId="657FE7B8" w:rsidR="0014455C" w:rsidRPr="00FF3D27" w:rsidRDefault="0014455C" w:rsidP="00F620C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54</w:t>
            </w:r>
          </w:p>
        </w:tc>
      </w:tr>
      <w:tr w:rsidR="0014455C" w:rsidRPr="00D216A4" w14:paraId="39C353C7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shd w:val="clear" w:color="auto" w:fill="auto"/>
          </w:tcPr>
          <w:p w14:paraId="12BD784F" w14:textId="710C43C9" w:rsidR="0014455C" w:rsidRPr="00FF3D27" w:rsidRDefault="0014455C" w:rsidP="000F1F1F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Hot Topics in Copyright Law</w:t>
            </w:r>
          </w:p>
        </w:tc>
        <w:tc>
          <w:tcPr>
            <w:tcW w:w="1507" w:type="dxa"/>
            <w:shd w:val="clear" w:color="auto" w:fill="auto"/>
          </w:tcPr>
          <w:p w14:paraId="09BD2F11" w14:textId="2D267DD1" w:rsidR="0014455C" w:rsidRPr="00FF3D27" w:rsidRDefault="0014455C" w:rsidP="00FF3D2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59</w:t>
            </w:r>
          </w:p>
        </w:tc>
      </w:tr>
      <w:tr w:rsidR="0014455C" w:rsidRPr="00D216A4" w14:paraId="1A620936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shd w:val="clear" w:color="auto" w:fill="auto"/>
          </w:tcPr>
          <w:p w14:paraId="34AE03E8" w14:textId="28E53734" w:rsidR="0014455C" w:rsidRPr="00FF3D27" w:rsidRDefault="0014455C" w:rsidP="00711B33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How to Identify and Deal with IP Provisions in Contracts</w:t>
            </w:r>
          </w:p>
        </w:tc>
        <w:tc>
          <w:tcPr>
            <w:tcW w:w="1507" w:type="dxa"/>
            <w:shd w:val="clear" w:color="auto" w:fill="auto"/>
          </w:tcPr>
          <w:p w14:paraId="12D89893" w14:textId="60209FC7" w:rsidR="0014455C" w:rsidRPr="00FF3D27" w:rsidRDefault="0014455C" w:rsidP="00F620C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5540206A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shd w:val="clear" w:color="auto" w:fill="auto"/>
          </w:tcPr>
          <w:p w14:paraId="32174C65" w14:textId="00C3A9E3" w:rsidR="0014455C" w:rsidRPr="00FF3D27" w:rsidRDefault="0014455C" w:rsidP="00711B33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pacing w:val="0"/>
                <w:sz w:val="24"/>
                <w:szCs w:val="24"/>
              </w:rPr>
              <w:t>Post Grant Review</w:t>
            </w:r>
          </w:p>
        </w:tc>
        <w:tc>
          <w:tcPr>
            <w:tcW w:w="1507" w:type="dxa"/>
            <w:shd w:val="clear" w:color="auto" w:fill="auto"/>
          </w:tcPr>
          <w:p w14:paraId="42DA8C2B" w14:textId="0F3C5547" w:rsidR="0014455C" w:rsidRPr="00FF3D27" w:rsidRDefault="0014455C" w:rsidP="00F620C9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4455C" w:rsidRPr="00D216A4" w14:paraId="1962941E" w14:textId="77777777" w:rsidTr="0014455C">
        <w:trPr>
          <w:gridAfter w:val="1"/>
          <w:wAfter w:w="1507" w:type="dxa"/>
          <w:trHeight w:val="487"/>
        </w:trPr>
        <w:tc>
          <w:tcPr>
            <w:tcW w:w="8314" w:type="dxa"/>
            <w:shd w:val="clear" w:color="auto" w:fill="auto"/>
          </w:tcPr>
          <w:p w14:paraId="777EBDD7" w14:textId="579B29B8" w:rsidR="0014455C" w:rsidRPr="00FF3D27" w:rsidRDefault="0014455C" w:rsidP="00337F86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pacing w:val="0"/>
                <w:sz w:val="24"/>
                <w:szCs w:val="24"/>
              </w:rPr>
              <w:t>IP Year in Review</w:t>
            </w:r>
          </w:p>
        </w:tc>
        <w:tc>
          <w:tcPr>
            <w:tcW w:w="1507" w:type="dxa"/>
            <w:shd w:val="clear" w:color="auto" w:fill="auto"/>
          </w:tcPr>
          <w:p w14:paraId="5445EB59" w14:textId="6533010A" w:rsidR="0014455C" w:rsidRPr="00FF3D27" w:rsidRDefault="0014455C" w:rsidP="00FF3D2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FF3D27">
              <w:rPr>
                <w:rFonts w:cs="Arial"/>
                <w:sz w:val="24"/>
                <w:szCs w:val="24"/>
              </w:rPr>
              <w:t>Declined</w:t>
            </w:r>
          </w:p>
        </w:tc>
      </w:tr>
    </w:tbl>
    <w:p w14:paraId="6770B3FC" w14:textId="77777777" w:rsidR="00711B33" w:rsidRDefault="00711B33" w:rsidP="009D5A6B">
      <w:pPr>
        <w:pStyle w:val="Heading1"/>
        <w:ind w:left="0"/>
        <w:rPr>
          <w:caps/>
          <w:sz w:val="24"/>
          <w:szCs w:val="24"/>
        </w:rPr>
      </w:pPr>
    </w:p>
    <w:p w14:paraId="3A4FF8D3" w14:textId="6F19782E" w:rsidR="009D5A6B" w:rsidRPr="00D216A4" w:rsidRDefault="00F620C9" w:rsidP="009D5A6B">
      <w:pPr>
        <w:pStyle w:val="Heading1"/>
        <w:ind w:left="0"/>
        <w:rPr>
          <w:caps/>
          <w:sz w:val="24"/>
          <w:szCs w:val="24"/>
        </w:rPr>
      </w:pPr>
      <w:r w:rsidRPr="002331DF">
        <w:rPr>
          <w:caps/>
          <w:sz w:val="24"/>
          <w:szCs w:val="24"/>
        </w:rPr>
        <w:t>20</w:t>
      </w:r>
      <w:r w:rsidR="002667D3" w:rsidRPr="002331DF">
        <w:rPr>
          <w:caps/>
          <w:sz w:val="24"/>
          <w:szCs w:val="24"/>
        </w:rPr>
        <w:t>18</w:t>
      </w:r>
      <w:r w:rsidR="00337F86" w:rsidRPr="002331DF">
        <w:rPr>
          <w:caps/>
          <w:sz w:val="24"/>
          <w:szCs w:val="24"/>
        </w:rPr>
        <w:t xml:space="preserve"> </w:t>
      </w:r>
      <w:r w:rsidRPr="002331DF">
        <w:rPr>
          <w:caps/>
          <w:sz w:val="24"/>
          <w:szCs w:val="24"/>
        </w:rPr>
        <w:t>- 20</w:t>
      </w:r>
      <w:r w:rsidR="002667D3" w:rsidRPr="002331DF">
        <w:rPr>
          <w:caps/>
          <w:sz w:val="24"/>
          <w:szCs w:val="24"/>
        </w:rPr>
        <w:t>20</w:t>
      </w:r>
      <w:r w:rsidR="00346A15" w:rsidRPr="002331DF">
        <w:rPr>
          <w:caps/>
          <w:sz w:val="24"/>
          <w:szCs w:val="24"/>
        </w:rPr>
        <w:t xml:space="preserve"> </w:t>
      </w:r>
      <w:r w:rsidR="006170C0" w:rsidRPr="002331DF">
        <w:rPr>
          <w:caps/>
          <w:sz w:val="24"/>
          <w:szCs w:val="24"/>
        </w:rPr>
        <w:t xml:space="preserve">Intellectual Property </w:t>
      </w:r>
      <w:r w:rsidR="009D5A6B" w:rsidRPr="002331DF">
        <w:rPr>
          <w:caps/>
          <w:sz w:val="24"/>
          <w:szCs w:val="24"/>
        </w:rPr>
        <w:t>SURVEY Suggested Topics</w:t>
      </w:r>
    </w:p>
    <w:p w14:paraId="29097704" w14:textId="77777777" w:rsidR="009D5A6B" w:rsidRPr="00085B42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>What Every In-House Counsel Should Know About IP</w:t>
      </w:r>
    </w:p>
    <w:p w14:paraId="6B27AF6A" w14:textId="77777777" w:rsidR="009D5A6B" w:rsidRPr="00085B42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 xml:space="preserve">How Do We Protect Our IP in an E-Commerce </w:t>
      </w:r>
      <w:proofErr w:type="gramStart"/>
      <w:r w:rsidRPr="00085B42">
        <w:rPr>
          <w:rFonts w:cs="Verdana"/>
          <w:color w:val="000026"/>
          <w:spacing w:val="0"/>
          <w:sz w:val="24"/>
          <w:szCs w:val="24"/>
        </w:rPr>
        <w:t>World</w:t>
      </w:r>
      <w:proofErr w:type="gramEnd"/>
    </w:p>
    <w:p w14:paraId="6C8162FA" w14:textId="77777777" w:rsidR="009D5A6B" w:rsidRPr="00085B42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>Mitigating Your IP Risk Across Borders: Protections that can help your company reduce its IP costs.</w:t>
      </w:r>
    </w:p>
    <w:p w14:paraId="3ABEF932" w14:textId="77777777" w:rsidR="009D5A6B" w:rsidRPr="00085B42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>Navigating the world of Open Source</w:t>
      </w:r>
    </w:p>
    <w:p w14:paraId="4B6ACE0D" w14:textId="77777777" w:rsidR="009D5A6B" w:rsidRPr="00085B42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>Strategies for Multi-Jurisdictional IP Litigation. Exploring the Similarities, Differences, Challenges, etc.</w:t>
      </w:r>
    </w:p>
    <w:p w14:paraId="5B6FAF39" w14:textId="77777777" w:rsidR="009D5A6B" w:rsidRPr="00085B42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 xml:space="preserve">Managing IP Costs: Metrics to Consider When Working </w:t>
      </w:r>
      <w:proofErr w:type="gramStart"/>
      <w:r w:rsidRPr="00085B42">
        <w:rPr>
          <w:rFonts w:cs="Verdana"/>
          <w:color w:val="000026"/>
          <w:spacing w:val="0"/>
          <w:sz w:val="24"/>
          <w:szCs w:val="24"/>
        </w:rPr>
        <w:t>With</w:t>
      </w:r>
      <w:proofErr w:type="gramEnd"/>
      <w:r w:rsidRPr="00085B42">
        <w:rPr>
          <w:rFonts w:cs="Verdana"/>
          <w:color w:val="000026"/>
          <w:spacing w:val="0"/>
          <w:sz w:val="24"/>
          <w:szCs w:val="24"/>
        </w:rPr>
        <w:t xml:space="preserve"> Outside Counsel.</w:t>
      </w:r>
    </w:p>
    <w:p w14:paraId="66A20A20" w14:textId="77777777" w:rsidR="009D5A6B" w:rsidRPr="00085B42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>Licensing Technologies from Universities and Their Associated Research Institutes and Spin-Offs</w:t>
      </w:r>
    </w:p>
    <w:p w14:paraId="716B6775" w14:textId="77777777" w:rsidR="009D5A6B" w:rsidRPr="00085B42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>IP and NDAs with Global Companies</w:t>
      </w:r>
    </w:p>
    <w:p w14:paraId="406CDAAE" w14:textId="77777777" w:rsidR="009D5A6B" w:rsidRPr="00085B42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 xml:space="preserve">Protecting Your Company </w:t>
      </w:r>
      <w:proofErr w:type="gramStart"/>
      <w:r w:rsidRPr="00085B42">
        <w:rPr>
          <w:rFonts w:cs="Verdana"/>
          <w:color w:val="000026"/>
          <w:spacing w:val="0"/>
          <w:sz w:val="24"/>
          <w:szCs w:val="24"/>
        </w:rPr>
        <w:t>From</w:t>
      </w:r>
      <w:proofErr w:type="gramEnd"/>
      <w:r w:rsidRPr="00085B42">
        <w:rPr>
          <w:rFonts w:cs="Verdana"/>
          <w:color w:val="000026"/>
          <w:spacing w:val="0"/>
          <w:sz w:val="24"/>
          <w:szCs w:val="24"/>
        </w:rPr>
        <w:t xml:space="preserve"> Risk and Sticking to Your Guns On Important IP Provisions in Contracts</w:t>
      </w:r>
    </w:p>
    <w:p w14:paraId="2B0E23B2" w14:textId="77777777" w:rsidR="009D5A6B" w:rsidRPr="000609A0" w:rsidRDefault="009D5A6B" w:rsidP="009D5A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spacing w:val="0"/>
          <w:sz w:val="24"/>
          <w:szCs w:val="24"/>
        </w:rPr>
      </w:pPr>
      <w:r w:rsidRPr="00085B42">
        <w:rPr>
          <w:rFonts w:cs="Verdana"/>
          <w:color w:val="000026"/>
          <w:spacing w:val="0"/>
          <w:sz w:val="24"/>
          <w:szCs w:val="24"/>
        </w:rPr>
        <w:t>Software License Agreement Drafting Advice</w:t>
      </w:r>
    </w:p>
    <w:p w14:paraId="7CDDC0BF" w14:textId="77777777" w:rsidR="00711B33" w:rsidRDefault="00711B33" w:rsidP="009D5A6B">
      <w:pPr>
        <w:pStyle w:val="Heading1"/>
        <w:ind w:left="0"/>
        <w:rPr>
          <w:caps/>
          <w:sz w:val="24"/>
          <w:szCs w:val="24"/>
        </w:rPr>
      </w:pPr>
    </w:p>
    <w:p w14:paraId="587C3F60" w14:textId="3F5BE56C" w:rsidR="009D5A6B" w:rsidRDefault="009D5A6B" w:rsidP="009D5A6B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2331DF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2331DF">
        <w:rPr>
          <w:caps/>
          <w:sz w:val="24"/>
          <w:szCs w:val="24"/>
        </w:rPr>
        <w:t>20</w:t>
      </w:r>
      <w:r w:rsidRPr="00D216A4">
        <w:rPr>
          <w:caps/>
          <w:sz w:val="24"/>
          <w:szCs w:val="24"/>
        </w:rPr>
        <w:t xml:space="preserve"> </w:t>
      </w:r>
      <w:r w:rsidR="006170C0">
        <w:rPr>
          <w:caps/>
          <w:sz w:val="24"/>
          <w:szCs w:val="24"/>
        </w:rPr>
        <w:t>Intellectual Property</w:t>
      </w:r>
      <w:r>
        <w:rPr>
          <w:caps/>
          <w:sz w:val="24"/>
          <w:szCs w:val="24"/>
        </w:rPr>
        <w:t xml:space="preserve"> </w:t>
      </w:r>
      <w:r w:rsidR="008D6D27">
        <w:rPr>
          <w:caps/>
          <w:sz w:val="24"/>
          <w:szCs w:val="24"/>
        </w:rPr>
        <w:t>NETWORK</w:t>
      </w:r>
      <w:r w:rsidRPr="00D216A4">
        <w:rPr>
          <w:caps/>
          <w:sz w:val="24"/>
          <w:szCs w:val="24"/>
        </w:rPr>
        <w:t xml:space="preserve"> </w:t>
      </w:r>
      <w:r w:rsidR="006170C0">
        <w:rPr>
          <w:caps/>
          <w:sz w:val="24"/>
          <w:szCs w:val="24"/>
        </w:rPr>
        <w:t>Online Event</w:t>
      </w:r>
      <w:r w:rsidRPr="00D216A4">
        <w:rPr>
          <w:caps/>
          <w:sz w:val="24"/>
          <w:szCs w:val="24"/>
        </w:rPr>
        <w:t xml:space="preserve"> Attendance Numbers</w:t>
      </w:r>
    </w:p>
    <w:p w14:paraId="31982C4E" w14:textId="77777777" w:rsidR="009D5A6B" w:rsidRPr="009F348A" w:rsidRDefault="009D5A6B" w:rsidP="009D5A6B">
      <w:pPr>
        <w:pStyle w:val="BodyText"/>
        <w:ind w:left="0"/>
        <w:rPr>
          <w:sz w:val="22"/>
          <w:szCs w:val="22"/>
        </w:rPr>
      </w:pPr>
      <w:r w:rsidRPr="00272FB7">
        <w:rPr>
          <w:sz w:val="22"/>
          <w:szCs w:val="22"/>
          <w:u w:val="single"/>
        </w:rPr>
        <w:t>APAC Call</w:t>
      </w:r>
      <w:r>
        <w:rPr>
          <w:sz w:val="22"/>
          <w:szCs w:val="22"/>
        </w:rPr>
        <w:t xml:space="preserve"> (APAC) </w:t>
      </w:r>
      <w:r w:rsidRPr="009F348A">
        <w:rPr>
          <w:sz w:val="22"/>
          <w:szCs w:val="22"/>
        </w:rPr>
        <w:t>– One-hour live presentations on the latest legal trends</w:t>
      </w:r>
      <w:r>
        <w:rPr>
          <w:sz w:val="22"/>
          <w:szCs w:val="22"/>
        </w:rPr>
        <w:t xml:space="preserve"> affecting organizations in the Asia-Pacific region and multinational companies</w:t>
      </w:r>
      <w:r w:rsidRPr="009F348A">
        <w:rPr>
          <w:sz w:val="22"/>
          <w:szCs w:val="22"/>
        </w:rPr>
        <w:t>. Available live or on-demand through the ACC Education Archive. CLE/CPD credit available for a fee.</w:t>
      </w:r>
    </w:p>
    <w:p w14:paraId="35E86B6D" w14:textId="77777777" w:rsidR="009D5A6B" w:rsidRPr="009F348A" w:rsidRDefault="009D5A6B" w:rsidP="009D5A6B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EMEA Call (EMEA) </w:t>
      </w:r>
      <w:r w:rsidRPr="009F348A">
        <w:rPr>
          <w:sz w:val="22"/>
          <w:szCs w:val="22"/>
        </w:rPr>
        <w:t xml:space="preserve">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</w:t>
      </w:r>
      <w:r>
        <w:rPr>
          <w:sz w:val="22"/>
          <w:szCs w:val="22"/>
        </w:rPr>
        <w:t xml:space="preserve"> affecting organizations in Europe, Africa, and/or the Middle East and multinational companies</w:t>
      </w:r>
      <w:r w:rsidRPr="009F348A">
        <w:rPr>
          <w:sz w:val="22"/>
          <w:szCs w:val="22"/>
        </w:rPr>
        <w:t>. Available live or on-demand through the ACC Education Archive.</w:t>
      </w:r>
      <w:r>
        <w:rPr>
          <w:sz w:val="22"/>
          <w:szCs w:val="22"/>
        </w:rPr>
        <w:t xml:space="preserve"> </w:t>
      </w:r>
      <w:r w:rsidRPr="009F348A">
        <w:rPr>
          <w:sz w:val="22"/>
          <w:szCs w:val="22"/>
        </w:rPr>
        <w:t>No CLE/CPD credit available.</w:t>
      </w:r>
    </w:p>
    <w:p w14:paraId="306E0C31" w14:textId="0F0CAB96" w:rsidR="009D5A6B" w:rsidRDefault="009D5A6B" w:rsidP="009D5A6B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Legal Quick Hit (LQH)</w:t>
      </w:r>
      <w:r w:rsidRPr="009F348A">
        <w:rPr>
          <w:sz w:val="22"/>
          <w:szCs w:val="22"/>
        </w:rPr>
        <w:t xml:space="preserve"> – Short (15 to 30-minute) presentations on the latest legal trends made on the monthly </w:t>
      </w:r>
      <w:r w:rsidR="008D6D27">
        <w:rPr>
          <w:sz w:val="22"/>
          <w:szCs w:val="22"/>
        </w:rPr>
        <w:t>Network</w:t>
      </w:r>
      <w:r w:rsidRPr="009F348A">
        <w:rPr>
          <w:sz w:val="22"/>
          <w:szCs w:val="22"/>
        </w:rPr>
        <w:t xml:space="preserve"> Teleconference calls. Available live or on-demand through the ACC Education Archive. No CLE/CPD credit available.</w:t>
      </w:r>
    </w:p>
    <w:p w14:paraId="08D6743E" w14:textId="77777777" w:rsidR="009D5A6B" w:rsidRPr="009F348A" w:rsidRDefault="009D5A6B" w:rsidP="009D5A6B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Roundtable Discussion</w:t>
      </w:r>
      <w:r w:rsidRPr="009F348A"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</w:rPr>
        <w:t>R</w:t>
      </w:r>
      <w:r w:rsidRPr="009F348A">
        <w:rPr>
          <w:sz w:val="22"/>
          <w:szCs w:val="22"/>
          <w:u w:val="single"/>
        </w:rPr>
        <w:t>)</w:t>
      </w:r>
      <w:r w:rsidRPr="009F348A">
        <w:rPr>
          <w:sz w:val="22"/>
          <w:szCs w:val="22"/>
        </w:rPr>
        <w:t xml:space="preserve"> 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 </w:t>
      </w:r>
      <w:r>
        <w:rPr>
          <w:sz w:val="22"/>
          <w:szCs w:val="22"/>
        </w:rPr>
        <w:t>featuring an interactive discussion between two or more industry or topic area experts</w:t>
      </w:r>
      <w:r w:rsidRPr="009F348A">
        <w:rPr>
          <w:sz w:val="22"/>
          <w:szCs w:val="22"/>
        </w:rPr>
        <w:t>. Available live or on-demand through the ACC Education Archive. No CLE/CPD credit available.</w:t>
      </w:r>
    </w:p>
    <w:p w14:paraId="26362A18" w14:textId="77777777" w:rsidR="009D5A6B" w:rsidRDefault="009D5A6B" w:rsidP="009D5A6B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Webcast (W)</w:t>
      </w:r>
      <w:r w:rsidRPr="009F348A">
        <w:rPr>
          <w:sz w:val="22"/>
          <w:szCs w:val="22"/>
        </w:rPr>
        <w:t xml:space="preserve"> – One-hour live presentations on the latest legal trends. Available live or on-demand through the ACC Education Archive. CLE/CPD credit available for a fee.</w:t>
      </w:r>
    </w:p>
    <w:p w14:paraId="45465764" w14:textId="77777777" w:rsidR="006521D0" w:rsidRDefault="006521D0" w:rsidP="009D5A6B">
      <w:pPr>
        <w:pStyle w:val="BodyText"/>
        <w:ind w:left="0"/>
        <w:rPr>
          <w:sz w:val="22"/>
          <w:szCs w:val="22"/>
        </w:rPr>
      </w:pPr>
    </w:p>
    <w:tbl>
      <w:tblPr>
        <w:tblStyle w:val="MediumShading1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9"/>
        <w:gridCol w:w="5710"/>
        <w:gridCol w:w="1199"/>
        <w:gridCol w:w="1301"/>
      </w:tblGrid>
      <w:tr w:rsidR="009D5A6B" w:rsidRPr="00D216A4" w14:paraId="2595A8E7" w14:textId="77777777" w:rsidTr="00EB6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none" w:sz="0" w:space="0" w:color="auto"/>
              <w:left w:val="none" w:sz="0" w:space="0" w:color="auto"/>
              <w:bottom w:val="single" w:sz="6" w:space="0" w:color="auto"/>
              <w:right w:val="none" w:sz="0" w:space="0" w:color="auto"/>
            </w:tcBorders>
          </w:tcPr>
          <w:p w14:paraId="06F99DB5" w14:textId="77777777" w:rsidR="009D5A6B" w:rsidRPr="00D216A4" w:rsidRDefault="009D5A6B" w:rsidP="008F326C">
            <w:pPr>
              <w:pStyle w:val="BodyText"/>
              <w:ind w:left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Date</w:t>
            </w:r>
          </w:p>
        </w:tc>
        <w:tc>
          <w:tcPr>
            <w:tcW w:w="5710" w:type="dxa"/>
            <w:tcBorders>
              <w:top w:val="none" w:sz="0" w:space="0" w:color="auto"/>
              <w:left w:val="none" w:sz="0" w:space="0" w:color="auto"/>
              <w:bottom w:val="single" w:sz="6" w:space="0" w:color="auto"/>
              <w:right w:val="none" w:sz="0" w:space="0" w:color="auto"/>
            </w:tcBorders>
          </w:tcPr>
          <w:p w14:paraId="3123EB11" w14:textId="77777777" w:rsidR="009D5A6B" w:rsidRPr="00D216A4" w:rsidRDefault="009D5A6B" w:rsidP="008F326C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Event Title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single" w:sz="6" w:space="0" w:color="auto"/>
              <w:right w:val="none" w:sz="0" w:space="0" w:color="auto"/>
            </w:tcBorders>
          </w:tcPr>
          <w:p w14:paraId="49FDBB80" w14:textId="736C3826" w:rsidR="009D5A6B" w:rsidRPr="00D216A4" w:rsidRDefault="006170C0" w:rsidP="008F326C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Type</w:t>
            </w:r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single" w:sz="6" w:space="0" w:color="auto"/>
              <w:right w:val="none" w:sz="0" w:space="0" w:color="auto"/>
            </w:tcBorders>
          </w:tcPr>
          <w:p w14:paraId="260EEC8D" w14:textId="033DAFCB" w:rsidR="009D5A6B" w:rsidRPr="00D216A4" w:rsidRDefault="006170C0" w:rsidP="008F326C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Views</w:t>
            </w:r>
          </w:p>
        </w:tc>
      </w:tr>
      <w:tr w:rsidR="00885984" w:rsidRPr="00D216A4" w14:paraId="03798691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C2C2F19" w14:textId="319BB079" w:rsidR="00885984" w:rsidRPr="008F326C" w:rsidRDefault="008F326C" w:rsidP="008F326C">
            <w:pPr>
              <w:pStyle w:val="BodyTex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9/9/2020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4B569" w14:textId="77777777" w:rsidR="008F326C" w:rsidRPr="008F326C" w:rsidRDefault="008F326C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Making IP Due Diligence more Tailored, Useful and Efficient</w:t>
            </w:r>
          </w:p>
          <w:p w14:paraId="66179FDB" w14:textId="218786B3" w:rsidR="00885984" w:rsidRPr="008F326C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C833B" w14:textId="6EBE0614" w:rsidR="00885984" w:rsidRPr="008F326C" w:rsidRDefault="008F326C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F232CC5" w14:textId="04EC732C" w:rsidR="00885984" w:rsidRPr="008F326C" w:rsidRDefault="001C684A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96</w:t>
            </w:r>
          </w:p>
        </w:tc>
      </w:tr>
      <w:tr w:rsidR="00D23E20" w:rsidRPr="00D216A4" w14:paraId="77D3F954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E7B6FB2" w14:textId="551947FC" w:rsidR="00D23E20" w:rsidRPr="008F326C" w:rsidRDefault="008F326C" w:rsidP="008F326C">
            <w:pPr>
              <w:pStyle w:val="BodyTex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8/12/2020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8C426" w14:textId="3EFC3D02" w:rsidR="00D23E20" w:rsidRPr="008F326C" w:rsidRDefault="008F326C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Anti-Counterfeiting:  A Practical Guide to Effective Enforcement in Today’s World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9C065" w14:textId="2ADB0095" w:rsidR="00D23E20" w:rsidRPr="008F326C" w:rsidRDefault="008F326C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4526AD52" w14:textId="30E2901B" w:rsidR="00D23E20" w:rsidRPr="008F326C" w:rsidRDefault="001C684A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42</w:t>
            </w:r>
          </w:p>
        </w:tc>
      </w:tr>
      <w:tr w:rsidR="00D23E20" w:rsidRPr="00D216A4" w14:paraId="3190A3CA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59632A8" w14:textId="59F2F92F" w:rsidR="00D23E20" w:rsidRPr="008F326C" w:rsidRDefault="008F326C" w:rsidP="008F326C">
            <w:pPr>
              <w:pStyle w:val="BodyTex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7/8/2020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20BDC" w14:textId="03847308" w:rsidR="00D23E20" w:rsidRPr="008F326C" w:rsidRDefault="00D23E20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Design Patents Update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DAC92" w14:textId="0B11E4CE" w:rsidR="00D23E20" w:rsidRPr="008F326C" w:rsidRDefault="008F326C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324238FA" w14:textId="2FC72FFE" w:rsidR="00D23E20" w:rsidRPr="008F326C" w:rsidRDefault="001C684A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52</w:t>
            </w:r>
          </w:p>
        </w:tc>
      </w:tr>
      <w:tr w:rsidR="00D23E20" w:rsidRPr="00D216A4" w14:paraId="75117FC2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63D7DF" w14:textId="34FD46B5" w:rsidR="00D23E20" w:rsidRPr="008F326C" w:rsidRDefault="00D23E20" w:rsidP="008F326C">
            <w:pPr>
              <w:pStyle w:val="BodyTex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6/10/2020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D2C74" w14:textId="3D5E1467" w:rsidR="00D23E20" w:rsidRPr="008F326C" w:rsidRDefault="00D23E20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Keyword Agreements as Potential Antitrust Violations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F1896" w14:textId="77C04BF0" w:rsidR="00D23E20" w:rsidRPr="008F326C" w:rsidRDefault="008F326C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3BDF000B" w14:textId="246A08EE" w:rsidR="00D23E20" w:rsidRPr="008F326C" w:rsidRDefault="001C684A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46</w:t>
            </w:r>
          </w:p>
        </w:tc>
      </w:tr>
      <w:tr w:rsidR="00D23E20" w:rsidRPr="00D216A4" w14:paraId="6776B09D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CCA836C" w14:textId="3AABBEF5" w:rsidR="00D23E20" w:rsidRPr="008F326C" w:rsidRDefault="00D23E20" w:rsidP="008F326C">
            <w:pPr>
              <w:pStyle w:val="BodyTex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5/13/2020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7B5C" w14:textId="67A6680D" w:rsidR="00D23E20" w:rsidRPr="008F326C" w:rsidRDefault="00D23E20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The Use of Celebrity Look-Alikes in Advertising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949F3" w14:textId="25A5A694" w:rsidR="00D23E20" w:rsidRPr="008F326C" w:rsidRDefault="008F326C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1006945F" w14:textId="32C2E8B3" w:rsidR="00D23E20" w:rsidRPr="008F326C" w:rsidRDefault="001C684A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</w:tr>
      <w:tr w:rsidR="00885984" w:rsidRPr="00D216A4" w14:paraId="6F4589B7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80D3812" w14:textId="52E0E403" w:rsidR="00885984" w:rsidRPr="008F326C" w:rsidRDefault="00D23E20" w:rsidP="008F326C">
            <w:pPr>
              <w:pStyle w:val="BodyTex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4/11/2020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CEA5F" w14:textId="69B3BAD9" w:rsidR="00885984" w:rsidRPr="008F326C" w:rsidRDefault="00D23E20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2019 Patent Case Law Update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82490" w14:textId="6ED27161" w:rsidR="00885984" w:rsidRPr="008F326C" w:rsidRDefault="008F326C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0B0F914A" w14:textId="123ED750" w:rsidR="00885984" w:rsidRPr="008F326C" w:rsidRDefault="001C684A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56</w:t>
            </w:r>
          </w:p>
        </w:tc>
      </w:tr>
      <w:tr w:rsidR="00885984" w:rsidRPr="00D216A4" w14:paraId="434153F5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B62CB42" w14:textId="534046B8" w:rsidR="00885984" w:rsidRPr="008F326C" w:rsidRDefault="00D23E20" w:rsidP="008F326C">
            <w:pPr>
              <w:pStyle w:val="BodyTex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3/11/2020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C5388" w14:textId="2CA3840B" w:rsidR="00885984" w:rsidRPr="008F326C" w:rsidRDefault="00D23E20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Investigations Gone Wild – The Risks and Rewards in the Use of Investigators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56DB" w14:textId="16B358BD" w:rsidR="00885984" w:rsidRPr="008F326C" w:rsidRDefault="008F326C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47B9F037" w14:textId="140B12D8" w:rsidR="00885984" w:rsidRPr="008F326C" w:rsidRDefault="001C684A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40</w:t>
            </w:r>
          </w:p>
        </w:tc>
      </w:tr>
      <w:tr w:rsidR="00885984" w:rsidRPr="00D216A4" w14:paraId="5F959284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C91CE44" w14:textId="28EDFB15" w:rsidR="00885984" w:rsidRPr="008F326C" w:rsidRDefault="00D23E20" w:rsidP="008F326C">
            <w:pPr>
              <w:pStyle w:val="BodyTex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2/12/2020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2AFD7" w14:textId="5AF2C6D9" w:rsidR="00885984" w:rsidRPr="008F326C" w:rsidRDefault="00D23E20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Contracting for Transformative Technologies - Understanding the Legal Implications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09A3C" w14:textId="72CCCB39" w:rsidR="00885984" w:rsidRPr="008F326C" w:rsidRDefault="008F326C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25699C15" w14:textId="70D0C23D" w:rsidR="00885984" w:rsidRPr="008F326C" w:rsidRDefault="001C684A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149</w:t>
            </w:r>
          </w:p>
        </w:tc>
      </w:tr>
      <w:tr w:rsidR="00885984" w:rsidRPr="00D216A4" w14:paraId="00469A13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E055D75" w14:textId="53129E99" w:rsidR="00885984" w:rsidRPr="008F326C" w:rsidRDefault="00D23E20" w:rsidP="008F326C">
            <w:pPr>
              <w:pStyle w:val="BodyText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1/8/2020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F2D71" w14:textId="0A59BA82" w:rsidR="00885984" w:rsidRPr="008F326C" w:rsidRDefault="00D23E20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What You Don’t Know About Export Controls as an IP Attorney Can Hurt You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F1D04" w14:textId="16DA9F6C" w:rsidR="00885984" w:rsidRPr="008F326C" w:rsidRDefault="008F326C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46921E7" w14:textId="12674818" w:rsidR="00885984" w:rsidRPr="008F326C" w:rsidRDefault="001C684A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163</w:t>
            </w:r>
          </w:p>
        </w:tc>
      </w:tr>
      <w:tr w:rsidR="00885984" w:rsidRPr="007D688E" w14:paraId="7CFBD8AF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1C6DFB4" w14:textId="3D53DC2F" w:rsidR="00885984" w:rsidRPr="008F326C" w:rsidRDefault="00D23E20" w:rsidP="008F326C">
            <w:pPr>
              <w:pStyle w:val="BodyText"/>
              <w:ind w:left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12/11/2019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0EA2A" w14:textId="48F32847" w:rsidR="00885984" w:rsidRPr="008F326C" w:rsidRDefault="00D23E20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Your Secret Weapon: What Every In-House Attorney Should Know about Trade Secrets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404B4" w14:textId="0606F58F" w:rsidR="00885984" w:rsidRPr="008F326C" w:rsidRDefault="008F326C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855571D" w14:textId="4644DC16" w:rsidR="00885984" w:rsidRPr="008F326C" w:rsidRDefault="001C684A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145</w:t>
            </w:r>
          </w:p>
        </w:tc>
      </w:tr>
      <w:tr w:rsidR="00885984" w:rsidRPr="007D688E" w14:paraId="1F74AF9C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DC39A82" w14:textId="5DA049C9" w:rsidR="00885984" w:rsidRPr="008F326C" w:rsidRDefault="00885984" w:rsidP="008F326C">
            <w:pPr>
              <w:pStyle w:val="BodyText"/>
              <w:ind w:left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  <w:r w:rsidR="00D23E20"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  <w:r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/13/</w:t>
            </w:r>
            <w:r w:rsidR="00D23E20"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B633E" w14:textId="4E58FD0B" w:rsidR="00885984" w:rsidRPr="008F326C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Social Media Risk (or “We So Need </w:t>
            </w:r>
            <w:proofErr w:type="gramStart"/>
            <w:r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</w:t>
            </w:r>
            <w:proofErr w:type="gramEnd"/>
            <w:r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Share That!!!”)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B0F3A" w14:textId="548B0A81" w:rsidR="00885984" w:rsidRPr="008F326C" w:rsidRDefault="008F326C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</w:t>
            </w:r>
            <w:r w:rsidRPr="008F326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5BB3E568" w14:textId="0045A951" w:rsidR="00885984" w:rsidRPr="008F326C" w:rsidRDefault="008F326C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1C684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77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5984" w:rsidRPr="007D688E" w14:paraId="0AE71FDE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4BB2E8D" w14:textId="68BCBF09" w:rsidR="00885984" w:rsidRPr="00E77A2C" w:rsidRDefault="00885984" w:rsidP="008F326C">
            <w:pPr>
              <w:pStyle w:val="BodyText"/>
              <w:ind w:left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9/11/2019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5A4D9" w14:textId="2BF9B521" w:rsidR="00885984" w:rsidRPr="00E77A2C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When Someone Else Patents Your Company’s Invention: What </w:t>
            </w:r>
            <w:proofErr w:type="gramStart"/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</w:t>
            </w:r>
            <w:proofErr w:type="gramEnd"/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Do And How To Prevent It From Happening Again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1F990" w14:textId="25A68C4E" w:rsidR="00885984" w:rsidRPr="00E77A2C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018FF643" w14:textId="01615399" w:rsidR="00885984" w:rsidRPr="00E77A2C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39</w:t>
            </w:r>
          </w:p>
        </w:tc>
      </w:tr>
      <w:tr w:rsidR="00885984" w:rsidRPr="007D688E" w14:paraId="4F27658C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93D613B" w14:textId="1C196A53" w:rsidR="00885984" w:rsidRPr="00E77A2C" w:rsidRDefault="00885984" w:rsidP="008F326C">
            <w:pPr>
              <w:pStyle w:val="BodyText"/>
              <w:ind w:left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8/14/2019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7DD7D" w14:textId="1AFD6D14" w:rsidR="00885984" w:rsidRPr="00E77A2C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Anti-Counterfeiting Enforcement in the U.S. and China – Setting Priorities and Allocating Resources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8E212" w14:textId="60E38375" w:rsidR="00885984" w:rsidRPr="00E77A2C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655A853" w14:textId="42797EF7" w:rsidR="00885984" w:rsidRPr="00E77A2C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77A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</w:t>
            </w:r>
          </w:p>
        </w:tc>
      </w:tr>
      <w:tr w:rsidR="00885984" w:rsidRPr="007D688E" w14:paraId="5F1407DE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6160505" w14:textId="484FAB85" w:rsidR="00885984" w:rsidRPr="00E77A2C" w:rsidRDefault="00885984" w:rsidP="008F326C">
            <w:pPr>
              <w:pStyle w:val="BodyText"/>
              <w:ind w:left="0"/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6/12/2019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B49C3" w14:textId="034C1A9E" w:rsidR="00885984" w:rsidRPr="00E77A2C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Photography and Copyright:  Recent Developments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9997A" w14:textId="091EF27C" w:rsidR="00885984" w:rsidRPr="00E77A2C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30E1BCC8" w14:textId="2AB6A9C2" w:rsidR="00885984" w:rsidRPr="00E77A2C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885984" w:rsidRPr="007D688E" w14:paraId="3A164693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7EA6DE" w14:textId="2AB9F990" w:rsidR="00885984" w:rsidRPr="00500CA0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5/8/2019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4569B" w14:textId="311E73B9" w:rsidR="00885984" w:rsidRPr="00E130CF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Patent Case Law Updates and Their Impact on In-House Counsel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B6ED9" w14:textId="558A65C2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DA83C17" w14:textId="63CF7B82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85984" w:rsidRPr="007D688E" w14:paraId="55032685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184E43C" w14:textId="17F6DA3E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4/10/2019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4B4C7" w14:textId="6A564F1F" w:rsidR="00885984" w:rsidRPr="00E57E92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Anatomy of a False Advertising Claim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80E1C" w14:textId="314E5641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5F121D83" w14:textId="0288D725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85984" w:rsidRPr="007D688E" w14:paraId="66ECC145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E9A6C9" w14:textId="12BD6339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3/13/2019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0717E" w14:textId="7E1F855F" w:rsidR="00885984" w:rsidRPr="00E57E92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Look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Your Left...Look to Your Right...Adjust Your Patent Portfolio Strategy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ECE03" w14:textId="07C581B5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1B31F766" w14:textId="0D8D1DD2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85984" w:rsidRPr="007D688E" w14:paraId="01C74F07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6492720" w14:textId="7FA6DF88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2/13/2019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EFF84" w14:textId="39D974D5" w:rsidR="00885984" w:rsidRPr="00E57E92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Annual Trademark Update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D65C4" w14:textId="1F70181E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0445B898" w14:textId="576A0C12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85984" w:rsidRPr="007D688E" w14:paraId="2D7E29A1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62F6EAC" w14:textId="214F2FE7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1/9/2019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59FFD" w14:textId="30539B4D" w:rsidR="00885984" w:rsidRPr="00E57E92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Sale Bar: Supreme Court Review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Helsinn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v. Teva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7A624" w14:textId="629C9DEC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643DAF62" w14:textId="5526C843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85984" w:rsidRPr="007D688E" w14:paraId="641B4526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0FD5F6" w14:textId="0D7A10D6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12/12/2018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01B5A" w14:textId="4082AAEF" w:rsidR="00885984" w:rsidRPr="00E57E92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to Do Before the Derived Data Paste is Out of the Tube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6357F" w14:textId="2677A678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6EEF0EE4" w14:textId="6B20B9FF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85984" w:rsidRPr="007D688E" w14:paraId="6505F7DF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538BA9E" w14:textId="5FE74D52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11/14/2018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C03E1" w14:textId="34965F83" w:rsidR="00885984" w:rsidRPr="00E57E92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 Source Software: Compliance Best Practices and Recent Developments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DCFB1" w14:textId="74AAD2CC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29E58402" w14:textId="560CA2E1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85984" w:rsidRPr="007D688E" w14:paraId="4E20078F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1031A3A" w14:textId="2A714C64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9/12/2018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1F258" w14:textId="3EA933F6" w:rsidR="00885984" w:rsidRPr="00E57E92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Trade Secret Case from A-Z: Exploring the Stages of a Trade Secrets Case Through Hypotheticals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AFA8D" w14:textId="086C61D1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44BAD23B" w14:textId="0305F5AA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85984" w:rsidRPr="007D688E" w14:paraId="1E95D978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DCEE8E4" w14:textId="302E2822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8/8/2018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95AE7" w14:textId="56B584BA" w:rsidR="00885984" w:rsidRPr="00E57E92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Post Grant Proceedings - Recent Developments and Precedential Decisions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13538" w14:textId="18D1D5C0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2153955D" w14:textId="7204016A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85984" w:rsidRPr="007D688E" w14:paraId="1BB9D1B5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5C48B69" w14:textId="744B1AEF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6/13/2018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52B8A" w14:textId="60E261E8" w:rsidR="00885984" w:rsidRPr="00E57E92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2017 Tax Act – Impact on Intercompany IP Licensing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4124A" w14:textId="239C813D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203E93D3" w14:textId="7297E64E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885984" w:rsidRPr="007D688E" w14:paraId="64B44DDE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2AECE3E" w14:textId="50F857BF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5/9/2018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AF0EC" w14:textId="73A77A02" w:rsidR="00885984" w:rsidRPr="00E57E92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Selling Patent Rights for Revenue Generation in Today’s Environment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963C0" w14:textId="61D54285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4724AAAB" w14:textId="55A23583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885984" w:rsidRPr="007D688E" w14:paraId="42EF7642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1C1F21" w14:textId="4F8366D3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4/11/2018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31AE3" w14:textId="1E3FE512" w:rsidR="00885984" w:rsidRPr="00E57E92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Recent Developments in International Trademark Law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B77DE" w14:textId="00054621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15824DCD" w14:textId="31C64EAE" w:rsidR="00885984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885984" w:rsidRPr="007D688E" w14:paraId="478F3D5B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7989212" w14:textId="6DA17BC8" w:rsidR="00885984" w:rsidRPr="00E130CF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3/14/2018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8C369" w14:textId="673BC265" w:rsidR="00885984" w:rsidRPr="00E57E92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Chuck Taylor on Trial: Secondary Meaning for an American Icon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D6B30" w14:textId="07689F1B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265D452" w14:textId="1C653850" w:rsidR="00885984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85984" w:rsidRPr="007D688E" w14:paraId="4D31A90C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93C6C84" w14:textId="6F71351B" w:rsidR="00885984" w:rsidRPr="00BF1196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2/14/2018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C0BE0" w14:textId="165DC599" w:rsidR="00885984" w:rsidRPr="00BF1196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Who Owns the IP? IP Issues in Consulting Agreements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05709" w14:textId="0980B263" w:rsidR="00885984" w:rsidRPr="00BF1196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6917B2C2" w14:textId="52C79DC4" w:rsidR="00885984" w:rsidRPr="00BF1196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885984" w:rsidRPr="007D688E" w14:paraId="4B7A6798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8874C72" w14:textId="3CDDA46C" w:rsidR="00885984" w:rsidRPr="00BF1196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1/10/2018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C83C3" w14:textId="098AB06B" w:rsidR="00885984" w:rsidRPr="00BF1196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Protecting the Privilege for In-house Work Product in a Post-Halo Environment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79B37" w14:textId="69F347C1" w:rsidR="00885984" w:rsidRPr="00BF1196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5EFA82D7" w14:textId="71A20B75" w:rsidR="00885984" w:rsidRPr="00BF1196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</w:tr>
      <w:tr w:rsidR="00885984" w:rsidRPr="007D688E" w14:paraId="390BD83E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33512E6" w14:textId="08BB4B44" w:rsidR="00885984" w:rsidRPr="00BF1196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12/13/2017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2C225" w14:textId="6F6CE496" w:rsidR="00885984" w:rsidRPr="00BF1196" w:rsidRDefault="00885984" w:rsidP="008F326C">
            <w:pPr>
              <w:pStyle w:val="BodyTex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INTERPLAY – Patent-Related Issues in the Government Contracts Universe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ECEF2" w14:textId="3628295D" w:rsidR="00885984" w:rsidRPr="00BF1196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1D5FB05" w14:textId="2E0D7E1F" w:rsidR="00885984" w:rsidRPr="00BF1196" w:rsidRDefault="00885984" w:rsidP="008F326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85984" w:rsidRPr="007D688E" w14:paraId="50F8BEE4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E17E7C5" w14:textId="27180852" w:rsidR="00885984" w:rsidRPr="00BF1196" w:rsidRDefault="00885984" w:rsidP="008F326C">
            <w:pPr>
              <w:pStyle w:val="BodyText"/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11/8/2017</w:t>
            </w:r>
          </w:p>
        </w:tc>
        <w:tc>
          <w:tcPr>
            <w:tcW w:w="5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320BF" w14:textId="14BAE29F" w:rsidR="00885984" w:rsidRPr="00BF1196" w:rsidRDefault="00885984" w:rsidP="008F326C">
            <w:pPr>
              <w:pStyle w:val="Body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Navigating the Post-Grant Landscape</w:t>
            </w:r>
          </w:p>
        </w:tc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C115C" w14:textId="43CBF25F" w:rsidR="00885984" w:rsidRPr="00BF1196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LQH</w:t>
            </w:r>
          </w:p>
        </w:tc>
        <w:tc>
          <w:tcPr>
            <w:tcW w:w="1301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0022C553" w14:textId="5425ACAF" w:rsidR="00885984" w:rsidRPr="00BF1196" w:rsidRDefault="00885984" w:rsidP="008F326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</w:tbl>
    <w:p w14:paraId="09B7DB62" w14:textId="77777777" w:rsidR="006521D0" w:rsidRDefault="006521D0" w:rsidP="00A921D2">
      <w:pPr>
        <w:pStyle w:val="Heading1"/>
        <w:ind w:left="0"/>
        <w:rPr>
          <w:caps/>
          <w:sz w:val="24"/>
          <w:szCs w:val="24"/>
        </w:rPr>
      </w:pPr>
    </w:p>
    <w:p w14:paraId="3D90F664" w14:textId="77777777" w:rsidR="00D66823" w:rsidRPr="00D66823" w:rsidRDefault="00D66823" w:rsidP="00F9308D">
      <w:pPr>
        <w:pStyle w:val="BodyText"/>
        <w:ind w:left="0"/>
      </w:pPr>
    </w:p>
    <w:p w14:paraId="6A4F5174" w14:textId="3E890186" w:rsidR="006521D0" w:rsidRPr="006521D0" w:rsidRDefault="009D5A6B" w:rsidP="006170C0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lastRenderedPageBreak/>
        <w:t>201</w:t>
      </w:r>
      <w:r w:rsidR="008F326C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8F326C">
        <w:rPr>
          <w:caps/>
          <w:sz w:val="24"/>
          <w:szCs w:val="24"/>
        </w:rPr>
        <w:t>20</w:t>
      </w:r>
      <w:r w:rsidRPr="00D216A4">
        <w:rPr>
          <w:caps/>
          <w:sz w:val="24"/>
          <w:szCs w:val="24"/>
        </w:rPr>
        <w:t xml:space="preserve"> </w:t>
      </w:r>
      <w:r w:rsidR="006170C0">
        <w:rPr>
          <w:caps/>
          <w:sz w:val="24"/>
          <w:szCs w:val="24"/>
        </w:rPr>
        <w:t>Popular Intellectual Property</w:t>
      </w:r>
      <w:r w:rsidR="006170C0" w:rsidRPr="00D216A4">
        <w:rPr>
          <w:caps/>
          <w:sz w:val="24"/>
          <w:szCs w:val="24"/>
        </w:rPr>
        <w:t xml:space="preserve"> </w:t>
      </w:r>
      <w:r w:rsidR="008D6D27">
        <w:rPr>
          <w:caps/>
          <w:sz w:val="24"/>
          <w:szCs w:val="24"/>
        </w:rPr>
        <w:t>NETWORK</w:t>
      </w:r>
      <w:r w:rsidRPr="00D216A4">
        <w:rPr>
          <w:caps/>
          <w:sz w:val="24"/>
          <w:szCs w:val="24"/>
        </w:rPr>
        <w:t xml:space="preserve"> Legal Resource</w:t>
      </w:r>
      <w:r w:rsidR="006170C0">
        <w:rPr>
          <w:caps/>
          <w:sz w:val="24"/>
          <w:szCs w:val="24"/>
        </w:rPr>
        <w:t>s</w:t>
      </w:r>
    </w:p>
    <w:tbl>
      <w:tblPr>
        <w:tblStyle w:val="MediumShading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9"/>
        <w:gridCol w:w="872"/>
      </w:tblGrid>
      <w:tr w:rsidR="00C4045C" w:rsidRPr="00D216A4" w14:paraId="2FE65339" w14:textId="77777777" w:rsidTr="00C40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auto"/>
            </w:tcBorders>
          </w:tcPr>
          <w:p w14:paraId="3B2E83DA" w14:textId="77777777" w:rsidR="00C4045C" w:rsidRPr="00D216A4" w:rsidRDefault="00C4045C" w:rsidP="00C279A2">
            <w:pPr>
              <w:pStyle w:val="BodyText"/>
              <w:ind w:left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Resource Title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832319" w14:textId="77777777" w:rsidR="00C4045C" w:rsidRPr="00D216A4" w:rsidRDefault="00C4045C" w:rsidP="00C279A2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Views</w:t>
            </w:r>
          </w:p>
        </w:tc>
      </w:tr>
      <w:tr w:rsidR="00C4045C" w:rsidRPr="00D216A4" w14:paraId="43226514" w14:textId="77777777" w:rsidTr="00C4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74953D9" w14:textId="0AE35641" w:rsidR="00C4045C" w:rsidRPr="00C4045C" w:rsidRDefault="00C4045C" w:rsidP="00C4045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C4045C">
              <w:rPr>
                <w:rFonts w:cs="Arial"/>
                <w:bCs w:val="0"/>
                <w:sz w:val="24"/>
                <w:szCs w:val="24"/>
              </w:rPr>
              <w:t>2018-20</w:t>
            </w:r>
            <w:r w:rsidR="00A84FAA">
              <w:rPr>
                <w:rFonts w:cs="Arial"/>
                <w:bCs w:val="0"/>
                <w:sz w:val="24"/>
                <w:szCs w:val="24"/>
              </w:rPr>
              <w:t>20</w:t>
            </w:r>
          </w:p>
        </w:tc>
      </w:tr>
      <w:tr w:rsidR="00D86A5B" w:rsidRPr="00D216A4" w14:paraId="584161D9" w14:textId="77777777" w:rsidTr="00C40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64670C" w14:textId="41CC506D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9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Copyright Assignment Agreemen</w:t>
              </w:r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D1FF72" w14:textId="0B5E560A" w:rsidR="00D86A5B" w:rsidRDefault="00D86A5B" w:rsidP="00C4045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103</w:t>
            </w:r>
          </w:p>
        </w:tc>
      </w:tr>
      <w:tr w:rsidR="00D86A5B" w:rsidRPr="00D216A4" w14:paraId="2E547F7B" w14:textId="77777777" w:rsidTr="00C4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ED6282" w14:textId="1B0D48D5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0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Copyright Letter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E8C182" w14:textId="5A077D02" w:rsidR="00D86A5B" w:rsidRDefault="00472CCA" w:rsidP="00C4045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381</w:t>
            </w:r>
          </w:p>
        </w:tc>
      </w:tr>
      <w:tr w:rsidR="00D86A5B" w:rsidRPr="00D216A4" w14:paraId="79B8E368" w14:textId="77777777" w:rsidTr="00C40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1D4749" w14:textId="563944E9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1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Due Diligence Request List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447E94" w14:textId="5C8C6149" w:rsidR="00D86A5B" w:rsidRDefault="00472CCA" w:rsidP="00C4045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82</w:t>
            </w:r>
          </w:p>
        </w:tc>
      </w:tr>
      <w:tr w:rsidR="00D86A5B" w:rsidRPr="00D216A4" w14:paraId="32B3708D" w14:textId="77777777" w:rsidTr="00C4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DE95C6" w14:textId="2DCA15DE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2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Invention Disclosure Assessment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924C558" w14:textId="0CC9A670" w:rsidR="00D86A5B" w:rsidRDefault="00472CCA" w:rsidP="00C4045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210</w:t>
            </w:r>
          </w:p>
        </w:tc>
      </w:tr>
      <w:tr w:rsidR="00D86A5B" w:rsidRPr="00D216A4" w14:paraId="7099419E" w14:textId="77777777" w:rsidTr="00C40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B87BE3" w14:textId="06F39CCA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3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Invention Disclosure Form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6756464" w14:textId="17607276" w:rsidR="00D86A5B" w:rsidRDefault="00472CCA" w:rsidP="00C4045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72</w:t>
            </w:r>
          </w:p>
        </w:tc>
      </w:tr>
      <w:tr w:rsidR="00D86A5B" w:rsidRPr="00D216A4" w14:paraId="63CEC6F4" w14:textId="77777777" w:rsidTr="00C4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82C824D" w14:textId="6417C9FD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4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IP Due Diligence Checklist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E8F8ADA" w14:textId="02533846" w:rsidR="00D86A5B" w:rsidRDefault="00472CCA" w:rsidP="00C4045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112</w:t>
            </w:r>
          </w:p>
        </w:tc>
      </w:tr>
      <w:tr w:rsidR="00D86A5B" w:rsidRPr="00D216A4" w14:paraId="68C234EE" w14:textId="77777777" w:rsidTr="00C40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BB9350" w14:textId="76528012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5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Patent Application Template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0F0866" w14:textId="1A4ED078" w:rsidR="00D86A5B" w:rsidRDefault="00472CCA" w:rsidP="00C4045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164</w:t>
            </w:r>
          </w:p>
        </w:tc>
      </w:tr>
      <w:tr w:rsidR="00D86A5B" w:rsidRPr="00D216A4" w14:paraId="73E8129F" w14:textId="77777777" w:rsidTr="00C4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0FDA52" w14:textId="142370BD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6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Sample Invention Record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C376344" w14:textId="0B9D5BD5" w:rsidR="00D86A5B" w:rsidRDefault="00472CCA" w:rsidP="00C4045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52</w:t>
            </w:r>
          </w:p>
        </w:tc>
      </w:tr>
      <w:tr w:rsidR="00D86A5B" w:rsidRPr="00D216A4" w14:paraId="2BE18090" w14:textId="77777777" w:rsidTr="00C40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4FBD9D" w14:textId="37F3EEF8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7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Sample Work for Hire Agreement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29E921" w14:textId="4CA618CB" w:rsidR="00D86A5B" w:rsidRDefault="00472CCA" w:rsidP="00C4045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80</w:t>
            </w:r>
          </w:p>
        </w:tc>
      </w:tr>
      <w:tr w:rsidR="00D86A5B" w:rsidRPr="00D216A4" w14:paraId="01972A3E" w14:textId="77777777" w:rsidTr="00C4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7FA1C7" w14:textId="184F5557" w:rsidR="00D86A5B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8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Sponsorship Checklist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6E2BE8" w14:textId="1F6A9070" w:rsidR="00D86A5B" w:rsidRDefault="00472CCA" w:rsidP="00C4045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64</w:t>
            </w:r>
          </w:p>
        </w:tc>
      </w:tr>
      <w:tr w:rsidR="00A84FAA" w:rsidRPr="00D216A4" w14:paraId="21959C69" w14:textId="77777777" w:rsidTr="00C40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53801D" w14:textId="171E3BC1" w:rsidR="00A84FAA" w:rsidRDefault="00D86A5B" w:rsidP="00C4045C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hyperlink r:id="rId19" w:history="1">
              <w:r w:rsidRPr="00D86A5B">
                <w:rPr>
                  <w:rStyle w:val="Hyperlink"/>
                  <w:b w:val="0"/>
                  <w:bCs w:val="0"/>
                  <w:sz w:val="22"/>
                  <w:szCs w:val="22"/>
                </w:rPr>
                <w:t>Sweepstakes Form Template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166D8BD" w14:textId="1EEF591E" w:rsidR="00A84FAA" w:rsidRDefault="00472CCA" w:rsidP="00C4045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87</w:t>
            </w:r>
          </w:p>
        </w:tc>
      </w:tr>
      <w:tr w:rsidR="00A84FAA" w:rsidRPr="00D216A4" w14:paraId="35F1A651" w14:textId="77777777" w:rsidTr="00C4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2ED972" w14:textId="6D542307" w:rsidR="00A84FAA" w:rsidRDefault="00A84FAA" w:rsidP="00C4045C">
            <w:pPr>
              <w:pStyle w:val="BodyText"/>
              <w:ind w:left="0"/>
            </w:pPr>
            <w:hyperlink r:id="rId20" w:history="1">
              <w:r w:rsidRPr="00A84FAA">
                <w:rPr>
                  <w:rStyle w:val="Hyperlink"/>
                  <w:b w:val="0"/>
                  <w:bCs w:val="0"/>
                  <w:sz w:val="22"/>
                  <w:szCs w:val="22"/>
                </w:rPr>
                <w:t xml:space="preserve">Checklist of Settlement Options </w:t>
              </w:r>
              <w:proofErr w:type="gramStart"/>
              <w:r w:rsidRPr="00A84FAA">
                <w:rPr>
                  <w:rStyle w:val="Hyperlink"/>
                  <w:b w:val="0"/>
                  <w:bCs w:val="0"/>
                  <w:sz w:val="22"/>
                  <w:szCs w:val="22"/>
                </w:rPr>
                <w:t>In</w:t>
              </w:r>
              <w:proofErr w:type="gramEnd"/>
              <w:r w:rsidRPr="00A84FAA">
                <w:rPr>
                  <w:rStyle w:val="Hyperlink"/>
                  <w:b w:val="0"/>
                  <w:bCs w:val="0"/>
                  <w:sz w:val="22"/>
                  <w:szCs w:val="22"/>
                </w:rPr>
                <w:t xml:space="preserve"> Trademark Cases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58D509" w14:textId="69EA7F7E" w:rsidR="00A84FAA" w:rsidRPr="00C4045C" w:rsidRDefault="00A84FAA" w:rsidP="00C4045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105</w:t>
            </w:r>
          </w:p>
        </w:tc>
      </w:tr>
      <w:tr w:rsidR="00C4045C" w:rsidRPr="00D216A4" w14:paraId="2222C70D" w14:textId="77777777" w:rsidTr="00C40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66C904" w14:textId="2641A30D" w:rsidR="00C4045C" w:rsidRPr="00C4045C" w:rsidRDefault="00F11715" w:rsidP="00C4045C">
            <w:pPr>
              <w:pStyle w:val="BodyText"/>
              <w:ind w:left="0"/>
              <w:rPr>
                <w:rFonts w:cs="Arial"/>
                <w:b w:val="0"/>
                <w:sz w:val="24"/>
                <w:szCs w:val="24"/>
              </w:rPr>
            </w:pPr>
            <w:hyperlink r:id="rId21" w:history="1">
              <w:r w:rsidR="00C4045C" w:rsidRPr="00C4045C">
                <w:rPr>
                  <w:rStyle w:val="Hyperlink"/>
                  <w:rFonts w:cs="Arial"/>
                  <w:sz w:val="24"/>
                  <w:szCs w:val="24"/>
                </w:rPr>
                <w:t>Navigating US Legal Issues in Modern Advertising Campaigns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43A7838" w14:textId="3F18DF86" w:rsidR="00C4045C" w:rsidRPr="00C4045C" w:rsidRDefault="00C4045C" w:rsidP="00C4045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C4045C">
              <w:rPr>
                <w:rFonts w:cs="Arial"/>
                <w:color w:val="000000"/>
                <w:sz w:val="24"/>
                <w:szCs w:val="24"/>
              </w:rPr>
              <w:t>598</w:t>
            </w:r>
          </w:p>
        </w:tc>
      </w:tr>
      <w:tr w:rsidR="00C4045C" w:rsidRPr="00D216A4" w14:paraId="3B7DAE9B" w14:textId="77777777" w:rsidTr="00C4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05FEFC2" w14:textId="5EDED5CF" w:rsidR="00C4045C" w:rsidRPr="00C4045C" w:rsidRDefault="00C4045C" w:rsidP="00C4045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C4045C">
              <w:rPr>
                <w:rFonts w:cs="Arial"/>
                <w:bCs w:val="0"/>
                <w:sz w:val="24"/>
                <w:szCs w:val="24"/>
              </w:rPr>
              <w:t>2017-2018</w:t>
            </w:r>
          </w:p>
        </w:tc>
      </w:tr>
      <w:tr w:rsidR="00C4045C" w:rsidRPr="00D216A4" w14:paraId="3E01B2AE" w14:textId="77777777" w:rsidTr="00C40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5F5536" w14:textId="3BEF51C3" w:rsidR="00C4045C" w:rsidRPr="00C4045C" w:rsidRDefault="00C4045C" w:rsidP="00C4045C">
            <w:pPr>
              <w:pStyle w:val="BodyText"/>
              <w:ind w:left="0"/>
              <w:rPr>
                <w:rFonts w:cs="Arial"/>
                <w:b w:val="0"/>
                <w:sz w:val="24"/>
                <w:szCs w:val="24"/>
              </w:rPr>
            </w:pPr>
            <w:r w:rsidRPr="00C4045C">
              <w:rPr>
                <w:rFonts w:cs="Arial"/>
                <w:b w:val="0"/>
                <w:sz w:val="24"/>
                <w:szCs w:val="24"/>
              </w:rPr>
              <w:t xml:space="preserve">Working with Vendors Without Waiving Privilege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DB1001" w14:textId="62FD5CD5" w:rsidR="00C4045C" w:rsidRPr="00C4045C" w:rsidRDefault="00C4045C" w:rsidP="00C4045C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C4045C">
              <w:rPr>
                <w:rFonts w:cs="Arial"/>
                <w:sz w:val="24"/>
                <w:szCs w:val="24"/>
              </w:rPr>
              <w:t>1045</w:t>
            </w:r>
          </w:p>
        </w:tc>
      </w:tr>
      <w:tr w:rsidR="00C4045C" w:rsidRPr="00D216A4" w14:paraId="39E167A6" w14:textId="77777777" w:rsidTr="00C4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B77880" w14:textId="2CDF4035" w:rsidR="00C4045C" w:rsidRPr="00C4045C" w:rsidRDefault="00C4045C" w:rsidP="00C4045C">
            <w:pPr>
              <w:pStyle w:val="BodyText"/>
              <w:ind w:left="0"/>
              <w:rPr>
                <w:rFonts w:cs="Arial"/>
                <w:b w:val="0"/>
                <w:sz w:val="24"/>
                <w:szCs w:val="24"/>
              </w:rPr>
            </w:pPr>
            <w:r w:rsidRPr="00C4045C">
              <w:rPr>
                <w:rFonts w:cs="Arial"/>
                <w:b w:val="0"/>
                <w:sz w:val="24"/>
                <w:szCs w:val="24"/>
              </w:rPr>
              <w:t xml:space="preserve">Top Ten Considerations for Performing Intellectual Property Due Diligence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145A85" w14:textId="503343F9" w:rsidR="00C4045C" w:rsidRPr="00C4045C" w:rsidRDefault="00C4045C" w:rsidP="00C4045C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C4045C">
              <w:rPr>
                <w:rFonts w:cs="Arial"/>
                <w:sz w:val="24"/>
                <w:szCs w:val="24"/>
              </w:rPr>
              <w:t>587</w:t>
            </w:r>
          </w:p>
        </w:tc>
      </w:tr>
    </w:tbl>
    <w:p w14:paraId="1B6ABBA1" w14:textId="77777777" w:rsidR="006521D0" w:rsidRPr="006521D0" w:rsidRDefault="006521D0" w:rsidP="00A52BDA">
      <w:pPr>
        <w:pStyle w:val="BodyText"/>
        <w:ind w:left="0"/>
      </w:pPr>
    </w:p>
    <w:p w14:paraId="499C3AFC" w14:textId="77777777" w:rsidR="00F9308D" w:rsidRDefault="00F9308D" w:rsidP="006170C0">
      <w:pPr>
        <w:pStyle w:val="Heading1"/>
        <w:ind w:left="0"/>
        <w:rPr>
          <w:caps/>
          <w:sz w:val="24"/>
          <w:szCs w:val="24"/>
        </w:rPr>
      </w:pPr>
    </w:p>
    <w:p w14:paraId="369362C8" w14:textId="52BC4E57" w:rsidR="006521D0" w:rsidRPr="006521D0" w:rsidRDefault="00E130CF" w:rsidP="006170C0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12371C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>-20</w:t>
      </w:r>
      <w:r w:rsidR="003A513B">
        <w:rPr>
          <w:caps/>
          <w:sz w:val="24"/>
          <w:szCs w:val="24"/>
        </w:rPr>
        <w:t>20</w:t>
      </w:r>
      <w:r w:rsidR="006170C0">
        <w:rPr>
          <w:caps/>
          <w:sz w:val="24"/>
          <w:szCs w:val="24"/>
        </w:rPr>
        <w:t xml:space="preserve"> </w:t>
      </w:r>
      <w:r w:rsidR="009D5A6B" w:rsidRPr="008E6405">
        <w:rPr>
          <w:caps/>
          <w:sz w:val="24"/>
          <w:szCs w:val="24"/>
        </w:rPr>
        <w:t>Popular I</w:t>
      </w:r>
      <w:r w:rsidR="009D5A6B">
        <w:rPr>
          <w:caps/>
          <w:sz w:val="24"/>
          <w:szCs w:val="24"/>
        </w:rPr>
        <w:t>P</w:t>
      </w:r>
      <w:r w:rsidR="009D5A6B" w:rsidRPr="008E6405">
        <w:rPr>
          <w:caps/>
          <w:sz w:val="24"/>
          <w:szCs w:val="24"/>
        </w:rPr>
        <w:t xml:space="preserve"> </w:t>
      </w:r>
      <w:r w:rsidR="008D6D27">
        <w:rPr>
          <w:caps/>
          <w:sz w:val="24"/>
          <w:szCs w:val="24"/>
        </w:rPr>
        <w:t>NETWORK</w:t>
      </w:r>
      <w:r w:rsidR="009D5A6B" w:rsidRPr="00D216A4">
        <w:rPr>
          <w:caps/>
          <w:sz w:val="24"/>
          <w:szCs w:val="24"/>
        </w:rPr>
        <w:t xml:space="preserve"> eGroup Discussion Topics</w:t>
      </w: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9"/>
        <w:gridCol w:w="7781"/>
      </w:tblGrid>
      <w:tr w:rsidR="0012371C" w14:paraId="3533E64A" w14:textId="77777777" w:rsidTr="00060DE5">
        <w:tc>
          <w:tcPr>
            <w:tcW w:w="184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86D7880" w14:textId="17D9FB7C" w:rsidR="0012371C" w:rsidRPr="006521D0" w:rsidRDefault="0012371C" w:rsidP="0012371C">
            <w:pPr>
              <w:pStyle w:val="BodyTex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521D0">
              <w:rPr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778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AB4B791" w14:textId="29658B5C" w:rsidR="0012371C" w:rsidRPr="006521D0" w:rsidRDefault="0012371C" w:rsidP="0012371C">
            <w:pPr>
              <w:pStyle w:val="BodyTex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521D0">
              <w:rPr>
                <w:b/>
                <w:color w:val="FFFFFF" w:themeColor="background1"/>
                <w:sz w:val="24"/>
                <w:szCs w:val="24"/>
              </w:rPr>
              <w:t>Subject</w:t>
            </w:r>
          </w:p>
        </w:tc>
      </w:tr>
      <w:tr w:rsidR="00060DE5" w14:paraId="21A04913" w14:textId="77777777" w:rsidTr="00060DE5">
        <w:tc>
          <w:tcPr>
            <w:tcW w:w="1849" w:type="dxa"/>
            <w:vAlign w:val="center"/>
          </w:tcPr>
          <w:p w14:paraId="41BE3698" w14:textId="2F40D785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8/11/2020</w:t>
            </w:r>
          </w:p>
        </w:tc>
        <w:tc>
          <w:tcPr>
            <w:tcW w:w="7781" w:type="dxa"/>
            <w:vAlign w:val="center"/>
          </w:tcPr>
          <w:p w14:paraId="3941394A" w14:textId="32330B07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22" w:tooltip="Automated Drafting Tools - Patent Theory" w:history="1">
              <w:r w:rsidR="00060DE5">
                <w:rPr>
                  <w:rStyle w:val="Hyperlink"/>
                </w:rPr>
                <w:t>Automated Drafting Tools - Patent Theory</w:t>
              </w:r>
            </w:hyperlink>
          </w:p>
        </w:tc>
      </w:tr>
      <w:tr w:rsidR="00060DE5" w14:paraId="006AB64F" w14:textId="77777777" w:rsidTr="00060DE5">
        <w:tc>
          <w:tcPr>
            <w:tcW w:w="1849" w:type="dxa"/>
            <w:vAlign w:val="center"/>
          </w:tcPr>
          <w:p w14:paraId="362B874F" w14:textId="4C062337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lastRenderedPageBreak/>
              <w:t>7/21/2020</w:t>
            </w:r>
          </w:p>
        </w:tc>
        <w:tc>
          <w:tcPr>
            <w:tcW w:w="7781" w:type="dxa"/>
            <w:vAlign w:val="center"/>
          </w:tcPr>
          <w:p w14:paraId="3EF2B731" w14:textId="616644A4" w:rsidR="00060DE5" w:rsidRDefault="00F11715" w:rsidP="00060DE5">
            <w:pPr>
              <w:pStyle w:val="BodyText"/>
              <w:ind w:left="0"/>
            </w:pPr>
            <w:hyperlink r:id="rId23" w:tooltip="Trade Secret Policy" w:history="1">
              <w:r w:rsidR="00EB668C">
                <w:rPr>
                  <w:rStyle w:val="Hyperlink"/>
                </w:rPr>
                <w:t>Trade Secret Policy</w:t>
              </w:r>
            </w:hyperlink>
          </w:p>
        </w:tc>
      </w:tr>
      <w:tr w:rsidR="00060DE5" w14:paraId="367E107D" w14:textId="77777777" w:rsidTr="00060DE5">
        <w:tc>
          <w:tcPr>
            <w:tcW w:w="1849" w:type="dxa"/>
            <w:vAlign w:val="center"/>
          </w:tcPr>
          <w:p w14:paraId="751178C9" w14:textId="14EF026E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6/18/2020</w:t>
            </w:r>
          </w:p>
        </w:tc>
        <w:tc>
          <w:tcPr>
            <w:tcW w:w="7781" w:type="dxa"/>
            <w:vAlign w:val="center"/>
          </w:tcPr>
          <w:p w14:paraId="3A53A8C3" w14:textId="303CDFB3" w:rsidR="00060DE5" w:rsidRDefault="00F11715" w:rsidP="00EB668C">
            <w:pPr>
              <w:pStyle w:val="BodyText"/>
              <w:ind w:left="0"/>
            </w:pPr>
            <w:hyperlink r:id="rId24" w:tooltip="Settlement of Copyright Claim - Publicity Rights Exclusion" w:history="1">
              <w:r w:rsidR="00060DE5">
                <w:rPr>
                  <w:rStyle w:val="Hyperlink"/>
                </w:rPr>
                <w:t>Settlement of Copyright Claim - Publicity Rights Exclusion</w:t>
              </w:r>
            </w:hyperlink>
          </w:p>
        </w:tc>
      </w:tr>
      <w:tr w:rsidR="00060DE5" w14:paraId="1C200B1F" w14:textId="77777777" w:rsidTr="00060DE5">
        <w:tc>
          <w:tcPr>
            <w:tcW w:w="1849" w:type="dxa"/>
            <w:vAlign w:val="center"/>
          </w:tcPr>
          <w:p w14:paraId="4DBE0A9A" w14:textId="08CDC007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5/28/2020</w:t>
            </w:r>
          </w:p>
        </w:tc>
        <w:tc>
          <w:tcPr>
            <w:tcW w:w="7781" w:type="dxa"/>
            <w:vAlign w:val="center"/>
          </w:tcPr>
          <w:p w14:paraId="0EA99E06" w14:textId="0C4D952B" w:rsidR="00060DE5" w:rsidRDefault="00F11715" w:rsidP="00C62BE5">
            <w:pPr>
              <w:ind w:left="0"/>
              <w:rPr>
                <w:rFonts w:ascii="Times New Roman" w:hAnsi="Times New Roman"/>
                <w:spacing w:val="0"/>
              </w:rPr>
            </w:pPr>
            <w:hyperlink r:id="rId25" w:tooltip="Use of patent proofreaders or drafting tools" w:history="1">
              <w:r w:rsidR="00060DE5">
                <w:rPr>
                  <w:rStyle w:val="Hyperlink"/>
                </w:rPr>
                <w:t>Use of patent proofreaders or drafting tools</w:t>
              </w:r>
            </w:hyperlink>
          </w:p>
        </w:tc>
      </w:tr>
      <w:tr w:rsidR="00060DE5" w14:paraId="30B75AD4" w14:textId="77777777" w:rsidTr="00060DE5">
        <w:tc>
          <w:tcPr>
            <w:tcW w:w="1849" w:type="dxa"/>
            <w:vAlign w:val="center"/>
          </w:tcPr>
          <w:p w14:paraId="4D10F6A8" w14:textId="6617401A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5/20/2020</w:t>
            </w:r>
          </w:p>
        </w:tc>
        <w:tc>
          <w:tcPr>
            <w:tcW w:w="7781" w:type="dxa"/>
            <w:vAlign w:val="center"/>
          </w:tcPr>
          <w:p w14:paraId="1ED37189" w14:textId="02136226" w:rsidR="00060DE5" w:rsidRDefault="00F11715" w:rsidP="00C62BE5">
            <w:pPr>
              <w:ind w:left="0"/>
            </w:pPr>
            <w:hyperlink r:id="rId26" w:tooltip="Comprehensive US Trademark Search" w:history="1">
              <w:r w:rsidR="00060DE5">
                <w:rPr>
                  <w:rStyle w:val="Hyperlink"/>
                </w:rPr>
                <w:t>Comprehensive US Trademark Search</w:t>
              </w:r>
            </w:hyperlink>
          </w:p>
        </w:tc>
      </w:tr>
      <w:tr w:rsidR="00060DE5" w14:paraId="6BA8EED8" w14:textId="77777777" w:rsidTr="00060DE5">
        <w:tc>
          <w:tcPr>
            <w:tcW w:w="1849" w:type="dxa"/>
            <w:vAlign w:val="center"/>
          </w:tcPr>
          <w:p w14:paraId="616F7BC8" w14:textId="39A126FB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3/9/2020</w:t>
            </w:r>
          </w:p>
        </w:tc>
        <w:tc>
          <w:tcPr>
            <w:tcW w:w="7781" w:type="dxa"/>
            <w:vAlign w:val="center"/>
          </w:tcPr>
          <w:p w14:paraId="0CEC98A7" w14:textId="08ED3388" w:rsidR="00060DE5" w:rsidRDefault="00F11715" w:rsidP="00C62BE5">
            <w:pPr>
              <w:ind w:left="0"/>
            </w:pPr>
            <w:hyperlink r:id="rId27" w:tooltip="Patent Drawing Resolution Issues with USPTO" w:history="1">
              <w:r w:rsidR="00060DE5">
                <w:rPr>
                  <w:rStyle w:val="Hyperlink"/>
                </w:rPr>
                <w:t>Patent Drawing Resolution Issues with USPTO</w:t>
              </w:r>
            </w:hyperlink>
          </w:p>
        </w:tc>
      </w:tr>
      <w:tr w:rsidR="00060DE5" w14:paraId="21996E9B" w14:textId="77777777" w:rsidTr="00060DE5">
        <w:tc>
          <w:tcPr>
            <w:tcW w:w="1849" w:type="dxa"/>
            <w:vAlign w:val="center"/>
          </w:tcPr>
          <w:p w14:paraId="75FB8441" w14:textId="0F92E1CF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2/12/2020</w:t>
            </w:r>
          </w:p>
        </w:tc>
        <w:tc>
          <w:tcPr>
            <w:tcW w:w="7781" w:type="dxa"/>
            <w:vAlign w:val="center"/>
          </w:tcPr>
          <w:p w14:paraId="4D0DB304" w14:textId="005B0470" w:rsidR="00060DE5" w:rsidRDefault="00F11715" w:rsidP="00C62BE5">
            <w:pPr>
              <w:ind w:left="0"/>
            </w:pPr>
            <w:hyperlink r:id="rId28" w:tooltip="5 Key Takeaways from Feb. 12 IPN Webinar:  &quot;Contracting for Transformative Technologies: Understanding the Legal Implications&quot;" w:history="1">
              <w:r w:rsidR="00060DE5">
                <w:rPr>
                  <w:rStyle w:val="Hyperlink"/>
                </w:rPr>
                <w:t>5 Key Takeaways from Feb. 12 IPN Webinar: "Contracting for Transformative Technologies: Understanding the Legal Implications"</w:t>
              </w:r>
            </w:hyperlink>
          </w:p>
        </w:tc>
      </w:tr>
      <w:tr w:rsidR="00060DE5" w14:paraId="4C0C1EE7" w14:textId="77777777" w:rsidTr="00060DE5">
        <w:tc>
          <w:tcPr>
            <w:tcW w:w="1849" w:type="dxa"/>
            <w:vAlign w:val="center"/>
          </w:tcPr>
          <w:p w14:paraId="115F943C" w14:textId="4B02C846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2/19/2020</w:t>
            </w:r>
          </w:p>
        </w:tc>
        <w:tc>
          <w:tcPr>
            <w:tcW w:w="7781" w:type="dxa"/>
            <w:vAlign w:val="center"/>
          </w:tcPr>
          <w:p w14:paraId="1AC67F3E" w14:textId="172CEAE4" w:rsidR="00060DE5" w:rsidRDefault="00F11715" w:rsidP="00C62BE5">
            <w:pPr>
              <w:ind w:left="0"/>
            </w:pPr>
            <w:hyperlink r:id="rId29" w:tooltip="Trademark &quot;intake&quot; form / process?" w:history="1">
              <w:r w:rsidR="00060DE5">
                <w:rPr>
                  <w:rStyle w:val="Hyperlink"/>
                </w:rPr>
                <w:t>Trademark "intake" form / process?</w:t>
              </w:r>
            </w:hyperlink>
          </w:p>
        </w:tc>
      </w:tr>
      <w:tr w:rsidR="00060DE5" w14:paraId="3F4B4043" w14:textId="77777777" w:rsidTr="00060DE5">
        <w:tc>
          <w:tcPr>
            <w:tcW w:w="1849" w:type="dxa"/>
            <w:vAlign w:val="center"/>
          </w:tcPr>
          <w:p w14:paraId="7BC2A634" w14:textId="6523B373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2/7/2020</w:t>
            </w:r>
          </w:p>
        </w:tc>
        <w:tc>
          <w:tcPr>
            <w:tcW w:w="7781" w:type="dxa"/>
            <w:vAlign w:val="center"/>
          </w:tcPr>
          <w:p w14:paraId="756F0622" w14:textId="3F30561F" w:rsidR="00060DE5" w:rsidRDefault="00F11715" w:rsidP="00C62BE5">
            <w:pPr>
              <w:ind w:left="0"/>
            </w:pPr>
            <w:hyperlink r:id="rId30" w:tooltip="Warranties for SaaS" w:history="1">
              <w:r w:rsidR="00060DE5">
                <w:rPr>
                  <w:rStyle w:val="Hyperlink"/>
                </w:rPr>
                <w:t>Warranties for SaaS</w:t>
              </w:r>
            </w:hyperlink>
          </w:p>
        </w:tc>
      </w:tr>
      <w:tr w:rsidR="00060DE5" w14:paraId="1AA92F6A" w14:textId="77777777" w:rsidTr="00060DE5">
        <w:tc>
          <w:tcPr>
            <w:tcW w:w="1849" w:type="dxa"/>
            <w:vAlign w:val="center"/>
          </w:tcPr>
          <w:p w14:paraId="1878D6BB" w14:textId="7D55FB88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1/27/2020</w:t>
            </w:r>
          </w:p>
        </w:tc>
        <w:tc>
          <w:tcPr>
            <w:tcW w:w="7781" w:type="dxa"/>
            <w:vAlign w:val="center"/>
          </w:tcPr>
          <w:p w14:paraId="6ED27396" w14:textId="111CD233" w:rsidR="00060DE5" w:rsidRDefault="00F11715" w:rsidP="00C62BE5">
            <w:pPr>
              <w:ind w:left="0"/>
            </w:pPr>
            <w:hyperlink r:id="rId31" w:tooltip="Amazon Brand Registry - Inconsistent Responses for Identical Products" w:history="1">
              <w:r w:rsidR="00060DE5">
                <w:rPr>
                  <w:rStyle w:val="Hyperlink"/>
                </w:rPr>
                <w:t>Amazon Brand Registry - Inconsistent Responses for Identical Products</w:t>
              </w:r>
            </w:hyperlink>
          </w:p>
        </w:tc>
      </w:tr>
      <w:tr w:rsidR="00060DE5" w14:paraId="1644CB6F" w14:textId="77777777" w:rsidTr="00060DE5">
        <w:tc>
          <w:tcPr>
            <w:tcW w:w="1849" w:type="dxa"/>
            <w:vAlign w:val="center"/>
          </w:tcPr>
          <w:p w14:paraId="44327160" w14:textId="5CC11FCC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1/17/2020</w:t>
            </w:r>
          </w:p>
        </w:tc>
        <w:tc>
          <w:tcPr>
            <w:tcW w:w="7781" w:type="dxa"/>
            <w:vAlign w:val="center"/>
          </w:tcPr>
          <w:p w14:paraId="5E3444EB" w14:textId="79345A35" w:rsidR="00060DE5" w:rsidRDefault="00F11715" w:rsidP="00C62BE5">
            <w:pPr>
              <w:ind w:left="0"/>
            </w:pPr>
            <w:hyperlink r:id="rId32" w:tooltip="IP Monetization" w:history="1">
              <w:r w:rsidR="00060DE5">
                <w:rPr>
                  <w:rStyle w:val="Hyperlink"/>
                </w:rPr>
                <w:t>IP Monetization</w:t>
              </w:r>
            </w:hyperlink>
          </w:p>
        </w:tc>
      </w:tr>
      <w:tr w:rsidR="00060DE5" w14:paraId="241C9665" w14:textId="77777777" w:rsidTr="00060DE5">
        <w:tc>
          <w:tcPr>
            <w:tcW w:w="1849" w:type="dxa"/>
            <w:vAlign w:val="center"/>
          </w:tcPr>
          <w:p w14:paraId="37CE6016" w14:textId="024665B0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1/13/2020</w:t>
            </w:r>
          </w:p>
        </w:tc>
        <w:tc>
          <w:tcPr>
            <w:tcW w:w="7781" w:type="dxa"/>
            <w:vAlign w:val="center"/>
          </w:tcPr>
          <w:p w14:paraId="03490A4B" w14:textId="62C8BEBD" w:rsidR="00060DE5" w:rsidRDefault="00F11715" w:rsidP="00C62BE5">
            <w:pPr>
              <w:ind w:left="0"/>
            </w:pPr>
            <w:hyperlink r:id="rId33" w:tooltip="Intellectual Property Policy" w:history="1">
              <w:r w:rsidR="00060DE5">
                <w:rPr>
                  <w:rStyle w:val="Hyperlink"/>
                </w:rPr>
                <w:t>Intellectual Property Policy</w:t>
              </w:r>
            </w:hyperlink>
          </w:p>
        </w:tc>
      </w:tr>
      <w:tr w:rsidR="00060DE5" w14:paraId="7B8E8DDF" w14:textId="77777777" w:rsidTr="00060DE5">
        <w:tc>
          <w:tcPr>
            <w:tcW w:w="1849" w:type="dxa"/>
            <w:vAlign w:val="center"/>
          </w:tcPr>
          <w:p w14:paraId="1F010604" w14:textId="1FCA38C6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1/7/2020</w:t>
            </w:r>
          </w:p>
        </w:tc>
        <w:tc>
          <w:tcPr>
            <w:tcW w:w="7781" w:type="dxa"/>
            <w:vAlign w:val="center"/>
          </w:tcPr>
          <w:p w14:paraId="05507B15" w14:textId="4C73E58E" w:rsidR="00060DE5" w:rsidRDefault="00F11715" w:rsidP="00C62BE5">
            <w:pPr>
              <w:ind w:left="0"/>
            </w:pPr>
            <w:hyperlink r:id="rId34" w:tooltip="Indemnities for third party claims" w:history="1">
              <w:r w:rsidR="00060DE5">
                <w:rPr>
                  <w:rStyle w:val="Hyperlink"/>
                </w:rPr>
                <w:t>Indemnities for third party claims</w:t>
              </w:r>
            </w:hyperlink>
          </w:p>
        </w:tc>
      </w:tr>
      <w:tr w:rsidR="00060DE5" w14:paraId="626B22AA" w14:textId="77777777" w:rsidTr="00060DE5">
        <w:tc>
          <w:tcPr>
            <w:tcW w:w="1849" w:type="dxa"/>
            <w:vAlign w:val="center"/>
          </w:tcPr>
          <w:p w14:paraId="049B4A5D" w14:textId="7CBA8BC3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8/22/2019</w:t>
            </w:r>
          </w:p>
        </w:tc>
        <w:tc>
          <w:tcPr>
            <w:tcW w:w="7781" w:type="dxa"/>
            <w:vAlign w:val="center"/>
          </w:tcPr>
          <w:p w14:paraId="54808B41" w14:textId="18FFDA9C" w:rsidR="00060DE5" w:rsidRDefault="00F11715" w:rsidP="00C62BE5">
            <w:pPr>
              <w:ind w:left="0"/>
            </w:pPr>
            <w:hyperlink r:id="rId35" w:history="1">
              <w:r w:rsidR="00060DE5">
                <w:rPr>
                  <w:rStyle w:val="Hyperlink"/>
                  <w:rFonts w:cs="Arial"/>
                  <w:color w:val="1E90FF"/>
                </w:rPr>
                <w:t>CDA terms</w:t>
              </w:r>
            </w:hyperlink>
          </w:p>
        </w:tc>
      </w:tr>
      <w:tr w:rsidR="00060DE5" w14:paraId="35315386" w14:textId="77777777" w:rsidTr="00060DE5">
        <w:tc>
          <w:tcPr>
            <w:tcW w:w="1849" w:type="dxa"/>
            <w:vAlign w:val="center"/>
          </w:tcPr>
          <w:p w14:paraId="01736CB0" w14:textId="7E1684AB" w:rsidR="00060DE5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</w:rPr>
            </w:pPr>
            <w:r>
              <w:rPr>
                <w:rFonts w:cs="Arial"/>
                <w:color w:val="2E2E2E"/>
              </w:rPr>
              <w:t>4/16/2019</w:t>
            </w:r>
          </w:p>
        </w:tc>
        <w:tc>
          <w:tcPr>
            <w:tcW w:w="7781" w:type="dxa"/>
            <w:vAlign w:val="center"/>
          </w:tcPr>
          <w:p w14:paraId="441D5ACD" w14:textId="510B4E6A" w:rsidR="00060DE5" w:rsidRDefault="00F11715" w:rsidP="00060DE5">
            <w:pPr>
              <w:pStyle w:val="BodyText"/>
              <w:ind w:left="0"/>
            </w:pPr>
            <w:hyperlink r:id="rId36" w:history="1">
              <w:r w:rsidR="00060DE5">
                <w:rPr>
                  <w:rStyle w:val="Hyperlink"/>
                  <w:rFonts w:cs="Arial"/>
                  <w:color w:val="1E90FF"/>
                </w:rPr>
                <w:t>Tech Patent Attorney Referral</w:t>
              </w:r>
            </w:hyperlink>
          </w:p>
        </w:tc>
      </w:tr>
      <w:tr w:rsidR="00060DE5" w14:paraId="4C9C6A13" w14:textId="77777777" w:rsidTr="00060DE5">
        <w:tc>
          <w:tcPr>
            <w:tcW w:w="1849" w:type="dxa"/>
            <w:vAlign w:val="center"/>
          </w:tcPr>
          <w:p w14:paraId="6231A2B0" w14:textId="680AADEB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11/14/2018</w:t>
            </w:r>
          </w:p>
        </w:tc>
        <w:tc>
          <w:tcPr>
            <w:tcW w:w="7781" w:type="dxa"/>
            <w:vAlign w:val="center"/>
          </w:tcPr>
          <w:p w14:paraId="253B32A6" w14:textId="490587E9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37" w:history="1">
              <w:r w:rsidR="00060DE5">
                <w:rPr>
                  <w:rStyle w:val="Hyperlink"/>
                  <w:rFonts w:cs="Arial"/>
                  <w:color w:val="1E90FF"/>
                </w:rPr>
                <w:t>Recommendations for IP Boutique/Mid-Range Local Firm for Software Company IP Portfolio Work</w:t>
              </w:r>
            </w:hyperlink>
          </w:p>
        </w:tc>
      </w:tr>
      <w:tr w:rsidR="00060DE5" w14:paraId="247B39A4" w14:textId="77777777" w:rsidTr="00060DE5">
        <w:tc>
          <w:tcPr>
            <w:tcW w:w="1849" w:type="dxa"/>
            <w:vAlign w:val="center"/>
          </w:tcPr>
          <w:p w14:paraId="69FF8E48" w14:textId="35B6182B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3/5/2019</w:t>
            </w:r>
          </w:p>
        </w:tc>
        <w:tc>
          <w:tcPr>
            <w:tcW w:w="7781" w:type="dxa"/>
            <w:vAlign w:val="center"/>
          </w:tcPr>
          <w:p w14:paraId="0C024337" w14:textId="503EAB32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38" w:history="1">
              <w:r w:rsidR="00060DE5">
                <w:rPr>
                  <w:rStyle w:val="Hyperlink"/>
                  <w:rFonts w:cs="Arial"/>
                  <w:color w:val="1E90FF"/>
                </w:rPr>
                <w:t>Sample Invention Disclosure Form</w:t>
              </w:r>
            </w:hyperlink>
          </w:p>
        </w:tc>
      </w:tr>
      <w:tr w:rsidR="00060DE5" w14:paraId="1F9D3526" w14:textId="77777777" w:rsidTr="00060DE5">
        <w:tc>
          <w:tcPr>
            <w:tcW w:w="1849" w:type="dxa"/>
            <w:vAlign w:val="center"/>
          </w:tcPr>
          <w:p w14:paraId="265F1E86" w14:textId="52C5DE15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8/28/2019</w:t>
            </w:r>
          </w:p>
        </w:tc>
        <w:tc>
          <w:tcPr>
            <w:tcW w:w="7781" w:type="dxa"/>
            <w:vAlign w:val="center"/>
          </w:tcPr>
          <w:p w14:paraId="2A22BB45" w14:textId="07681779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39" w:history="1">
              <w:r w:rsidR="00060DE5">
                <w:rPr>
                  <w:rStyle w:val="Hyperlink"/>
                  <w:rFonts w:cs="Arial"/>
                  <w:color w:val="1E90FF"/>
                </w:rPr>
                <w:t>Patent Assignments before filing</w:t>
              </w:r>
            </w:hyperlink>
          </w:p>
        </w:tc>
      </w:tr>
      <w:tr w:rsidR="00060DE5" w14:paraId="74B3A4EC" w14:textId="77777777" w:rsidTr="00060DE5">
        <w:tc>
          <w:tcPr>
            <w:tcW w:w="1849" w:type="dxa"/>
            <w:vAlign w:val="center"/>
          </w:tcPr>
          <w:p w14:paraId="6D0CB5DD" w14:textId="5A4533C6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1/24/2019</w:t>
            </w:r>
          </w:p>
        </w:tc>
        <w:tc>
          <w:tcPr>
            <w:tcW w:w="7781" w:type="dxa"/>
            <w:vAlign w:val="center"/>
          </w:tcPr>
          <w:p w14:paraId="1BA9CEEE" w14:textId="4DE0AD08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40" w:history="1">
              <w:r w:rsidR="00060DE5">
                <w:rPr>
                  <w:rStyle w:val="Hyperlink"/>
                  <w:rFonts w:cs="Arial"/>
                  <w:color w:val="1E90FF"/>
                </w:rPr>
                <w:t>Ownership of Photography</w:t>
              </w:r>
            </w:hyperlink>
          </w:p>
        </w:tc>
      </w:tr>
      <w:tr w:rsidR="00060DE5" w14:paraId="6D26FEB9" w14:textId="77777777" w:rsidTr="00060DE5">
        <w:tc>
          <w:tcPr>
            <w:tcW w:w="1849" w:type="dxa"/>
            <w:vAlign w:val="center"/>
          </w:tcPr>
          <w:p w14:paraId="7B449E2A" w14:textId="1C356D2F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7/29/2019</w:t>
            </w:r>
          </w:p>
        </w:tc>
        <w:tc>
          <w:tcPr>
            <w:tcW w:w="7781" w:type="dxa"/>
            <w:vAlign w:val="center"/>
          </w:tcPr>
          <w:p w14:paraId="127499F0" w14:textId="4B3AFEE4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41" w:history="1">
              <w:r w:rsidR="00060DE5">
                <w:rPr>
                  <w:rStyle w:val="Hyperlink"/>
                  <w:rFonts w:cs="Arial"/>
                  <w:color w:val="1E90FF"/>
                </w:rPr>
                <w:t>Patent Prosecution - Gaming</w:t>
              </w:r>
            </w:hyperlink>
          </w:p>
        </w:tc>
      </w:tr>
      <w:tr w:rsidR="00060DE5" w14:paraId="42EF3911" w14:textId="77777777" w:rsidTr="00060DE5">
        <w:tc>
          <w:tcPr>
            <w:tcW w:w="1849" w:type="dxa"/>
            <w:vAlign w:val="center"/>
          </w:tcPr>
          <w:p w14:paraId="0C06ED21" w14:textId="19B270E1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12/17/2018</w:t>
            </w:r>
          </w:p>
        </w:tc>
        <w:tc>
          <w:tcPr>
            <w:tcW w:w="7781" w:type="dxa"/>
            <w:vAlign w:val="center"/>
          </w:tcPr>
          <w:p w14:paraId="00C3D073" w14:textId="5886DFB0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42" w:history="1">
              <w:r w:rsidR="00060DE5">
                <w:rPr>
                  <w:rStyle w:val="Hyperlink"/>
                  <w:rFonts w:cs="Arial"/>
                  <w:color w:val="1E90FF"/>
                </w:rPr>
                <w:t>What does it mean to "own" a spreadsheet and the underlying IP?</w:t>
              </w:r>
            </w:hyperlink>
          </w:p>
        </w:tc>
      </w:tr>
      <w:tr w:rsidR="00060DE5" w14:paraId="7432C62E" w14:textId="77777777" w:rsidTr="00060DE5">
        <w:tc>
          <w:tcPr>
            <w:tcW w:w="1849" w:type="dxa"/>
            <w:vAlign w:val="center"/>
          </w:tcPr>
          <w:p w14:paraId="6E6D2833" w14:textId="3F8DF9CB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7/23/2019</w:t>
            </w:r>
          </w:p>
        </w:tc>
        <w:tc>
          <w:tcPr>
            <w:tcW w:w="7781" w:type="dxa"/>
            <w:vAlign w:val="center"/>
          </w:tcPr>
          <w:p w14:paraId="6CAC235C" w14:textId="65471413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43" w:history="1">
              <w:r w:rsidR="00060DE5">
                <w:rPr>
                  <w:rStyle w:val="Hyperlink"/>
                  <w:rFonts w:cs="Arial"/>
                  <w:color w:val="1E90FF"/>
                </w:rPr>
                <w:t>Amazon Unauthorized Resellers and MAP</w:t>
              </w:r>
            </w:hyperlink>
          </w:p>
        </w:tc>
      </w:tr>
      <w:tr w:rsidR="00060DE5" w14:paraId="36CEB595" w14:textId="77777777" w:rsidTr="00060DE5">
        <w:tc>
          <w:tcPr>
            <w:tcW w:w="1849" w:type="dxa"/>
            <w:vAlign w:val="center"/>
          </w:tcPr>
          <w:p w14:paraId="6F6E743B" w14:textId="325C8059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10/8/2018</w:t>
            </w:r>
          </w:p>
        </w:tc>
        <w:tc>
          <w:tcPr>
            <w:tcW w:w="7781" w:type="dxa"/>
            <w:vAlign w:val="center"/>
          </w:tcPr>
          <w:p w14:paraId="7B6DE514" w14:textId="28D4FC51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44" w:history="1">
              <w:r w:rsidR="00060DE5">
                <w:rPr>
                  <w:rStyle w:val="Hyperlink"/>
                  <w:rFonts w:cs="Arial"/>
                  <w:color w:val="1E90FF"/>
                </w:rPr>
                <w:t>Domain acquisition policy and domain enforcement vendors</w:t>
              </w:r>
            </w:hyperlink>
          </w:p>
        </w:tc>
      </w:tr>
      <w:tr w:rsidR="00060DE5" w14:paraId="48FAB42A" w14:textId="77777777" w:rsidTr="00060DE5">
        <w:tc>
          <w:tcPr>
            <w:tcW w:w="1849" w:type="dxa"/>
            <w:vAlign w:val="center"/>
          </w:tcPr>
          <w:p w14:paraId="5AE9BD8F" w14:textId="78B7161D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1/8/2019</w:t>
            </w:r>
          </w:p>
        </w:tc>
        <w:tc>
          <w:tcPr>
            <w:tcW w:w="7781" w:type="dxa"/>
            <w:vAlign w:val="center"/>
          </w:tcPr>
          <w:p w14:paraId="5419F1B0" w14:textId="61DD52E3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45" w:history="1">
              <w:r w:rsidR="00060DE5">
                <w:rPr>
                  <w:rStyle w:val="Hyperlink"/>
                  <w:rFonts w:cs="Arial"/>
                  <w:color w:val="1E90FF"/>
                </w:rPr>
                <w:t>Internal IP Process/Workflow</w:t>
              </w:r>
            </w:hyperlink>
          </w:p>
        </w:tc>
      </w:tr>
      <w:tr w:rsidR="00060DE5" w14:paraId="57E237DA" w14:textId="77777777" w:rsidTr="00060DE5">
        <w:tc>
          <w:tcPr>
            <w:tcW w:w="1849" w:type="dxa"/>
            <w:vAlign w:val="center"/>
          </w:tcPr>
          <w:p w14:paraId="04C5E76E" w14:textId="5BFD9783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1/31/2019</w:t>
            </w:r>
          </w:p>
        </w:tc>
        <w:tc>
          <w:tcPr>
            <w:tcW w:w="7781" w:type="dxa"/>
            <w:vAlign w:val="center"/>
          </w:tcPr>
          <w:p w14:paraId="374C12DF" w14:textId="675D591F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46" w:history="1">
              <w:r w:rsidR="00060DE5">
                <w:rPr>
                  <w:rStyle w:val="Hyperlink"/>
                  <w:rFonts w:cs="Arial"/>
                  <w:color w:val="1E90FF"/>
                </w:rPr>
                <w:t>Software/Tech Licensing/Medical Device Conferences</w:t>
              </w:r>
            </w:hyperlink>
          </w:p>
        </w:tc>
      </w:tr>
      <w:tr w:rsidR="00060DE5" w14:paraId="13305528" w14:textId="77777777" w:rsidTr="00060DE5">
        <w:tc>
          <w:tcPr>
            <w:tcW w:w="1849" w:type="dxa"/>
            <w:vAlign w:val="center"/>
          </w:tcPr>
          <w:p w14:paraId="6A27AF5C" w14:textId="04D26946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8/30/2019</w:t>
            </w:r>
          </w:p>
        </w:tc>
        <w:tc>
          <w:tcPr>
            <w:tcW w:w="7781" w:type="dxa"/>
            <w:vAlign w:val="center"/>
          </w:tcPr>
          <w:p w14:paraId="0F7F3B49" w14:textId="5C670315" w:rsidR="00060DE5" w:rsidRPr="00BB1DBF" w:rsidRDefault="00F11715" w:rsidP="00060DE5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hyperlink r:id="rId47" w:history="1">
              <w:r w:rsidR="00060DE5">
                <w:rPr>
                  <w:rStyle w:val="Hyperlink"/>
                  <w:rFonts w:cs="Arial"/>
                  <w:color w:val="1E90FF"/>
                </w:rPr>
                <w:t>Recommendation for China IP Lawyers</w:t>
              </w:r>
            </w:hyperlink>
          </w:p>
        </w:tc>
      </w:tr>
      <w:tr w:rsidR="00060DE5" w14:paraId="578A70BA" w14:textId="77777777" w:rsidTr="00060DE5">
        <w:tc>
          <w:tcPr>
            <w:tcW w:w="1849" w:type="dxa"/>
            <w:vAlign w:val="center"/>
          </w:tcPr>
          <w:p w14:paraId="62B88FC0" w14:textId="0615577A" w:rsidR="00060DE5" w:rsidRPr="00A04DBA" w:rsidRDefault="00060DE5" w:rsidP="0012371C">
            <w:pPr>
              <w:pStyle w:val="BodyText"/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</w:p>
        </w:tc>
        <w:tc>
          <w:tcPr>
            <w:tcW w:w="7781" w:type="dxa"/>
            <w:vAlign w:val="center"/>
          </w:tcPr>
          <w:p w14:paraId="5D6F9104" w14:textId="5DD3168F" w:rsidR="00060DE5" w:rsidRPr="00BB1DBF" w:rsidRDefault="00060DE5" w:rsidP="0012371C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4E39024E" w14:textId="77777777" w:rsidR="004427D6" w:rsidRDefault="004427D6" w:rsidP="00E31308">
      <w:pPr>
        <w:ind w:left="0"/>
        <w:rPr>
          <w:sz w:val="24"/>
          <w:szCs w:val="24"/>
        </w:rPr>
      </w:pPr>
    </w:p>
    <w:p w14:paraId="3405B880" w14:textId="77777777" w:rsidR="00031F56" w:rsidRDefault="00031F56" w:rsidP="00031F56">
      <w:pPr>
        <w:jc w:val="center"/>
        <w:rPr>
          <w:rFonts w:ascii="Times New Roman" w:hAnsi="Times New Roman"/>
          <w:b/>
          <w:bCs/>
          <w:caps/>
          <w:spacing w:val="0"/>
          <w:sz w:val="28"/>
          <w:szCs w:val="28"/>
        </w:rPr>
      </w:pPr>
      <w:bookmarkStart w:id="2" w:name="Dates"/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Important Dates</w:t>
      </w:r>
    </w:p>
    <w:bookmarkEnd w:id="2"/>
    <w:p w14:paraId="5A83DB8B" w14:textId="77777777" w:rsidR="00031F56" w:rsidRDefault="00031F56" w:rsidP="00031F56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MediumShading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33"/>
        <w:gridCol w:w="3267"/>
      </w:tblGrid>
      <w:tr w:rsidR="00031F56" w14:paraId="4AA58852" w14:textId="77777777" w:rsidTr="00EB6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2"/>
            <w:tcBorders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  <w:hideMark/>
          </w:tcPr>
          <w:p w14:paraId="0F8A438F" w14:textId="77777777" w:rsidR="00031F56" w:rsidRDefault="00031F56">
            <w:pPr>
              <w:ind w:left="-1440" w:right="-72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bCs w:val="0"/>
                <w:sz w:val="28"/>
              </w:rPr>
              <w:br w:type="page"/>
            </w:r>
            <w:r>
              <w:rPr>
                <w:bCs w:val="0"/>
                <w:sz w:val="28"/>
                <w:szCs w:val="28"/>
              </w:rPr>
              <w:br w:type="page"/>
            </w:r>
            <w:r>
              <w:rPr>
                <w:b w:val="0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Item</w:t>
            </w:r>
          </w:p>
        </w:tc>
        <w:tc>
          <w:tcPr>
            <w:tcW w:w="3267" w:type="dxa"/>
            <w:tcBorders>
              <w:left w:val="single" w:sz="8" w:space="0" w:color="404040" w:themeColor="text1" w:themeTint="BF"/>
              <w:bottom w:val="single" w:sz="4" w:space="0" w:color="404040" w:themeColor="text1" w:themeTint="BF"/>
            </w:tcBorders>
            <w:vAlign w:val="center"/>
            <w:hideMark/>
          </w:tcPr>
          <w:p w14:paraId="464E732E" w14:textId="77777777" w:rsidR="00031F56" w:rsidRDefault="00031F56">
            <w:pPr>
              <w:ind w:left="-1440" w:right="-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Date</w:t>
            </w:r>
          </w:p>
        </w:tc>
      </w:tr>
      <w:tr w:rsidR="00EB668C" w14:paraId="6906D29E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4F91328A" w14:textId="77777777" w:rsidR="00EB668C" w:rsidRDefault="00EB668C" w:rsidP="00EB668C">
            <w:pPr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Program Idea Submission Deadline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AFF4" w14:textId="0332EB23" w:rsidR="00EB668C" w:rsidRDefault="00EB668C" w:rsidP="00EB668C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0BDE234">
              <w:rPr>
                <w:rFonts w:ascii="Cambria" w:eastAsia="Cambria" w:hAnsi="Cambria" w:cs="Cambria"/>
                <w:sz w:val="28"/>
                <w:szCs w:val="28"/>
              </w:rPr>
              <w:t>Wed., Feb. 3, 2021 </w:t>
            </w:r>
          </w:p>
        </w:tc>
      </w:tr>
      <w:tr w:rsidR="00EB668C" w14:paraId="2B361306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45CAF354" w14:textId="77777777" w:rsidR="00EB668C" w:rsidRDefault="00EB668C" w:rsidP="00EB668C">
            <w:pPr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Program Selection Notifications Sent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C7FE" w14:textId="07977228" w:rsidR="00EB668C" w:rsidRDefault="00EB668C" w:rsidP="00EB668C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8"/>
                <w:szCs w:val="28"/>
              </w:rPr>
            </w:pPr>
            <w:r w:rsidRPr="30BDE234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Wed., March 31, 2021 </w:t>
            </w:r>
          </w:p>
        </w:tc>
      </w:tr>
      <w:tr w:rsidR="00EB668C" w14:paraId="4DFF60E8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5484860D" w14:textId="77777777" w:rsidR="00EB668C" w:rsidRDefault="00EB668C" w:rsidP="00EB668C">
            <w:pPr>
              <w:ind w:lef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Program Organizer Submission Deadline</w:t>
            </w:r>
            <w:r>
              <w:rPr>
                <w:b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7563" w14:textId="5AF6C6DB" w:rsidR="00EB668C" w:rsidRDefault="00EB668C" w:rsidP="00EB668C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0BDE234">
              <w:rPr>
                <w:rFonts w:ascii="Cambria" w:eastAsia="Cambria" w:hAnsi="Cambria" w:cs="Cambria"/>
                <w:sz w:val="28"/>
                <w:szCs w:val="28"/>
              </w:rPr>
              <w:t>Wed., April 14, 2021 </w:t>
            </w:r>
          </w:p>
        </w:tc>
      </w:tr>
      <w:tr w:rsidR="00EB668C" w14:paraId="0522BC7A" w14:textId="77777777" w:rsidTr="00EB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6DB6740C" w14:textId="77777777" w:rsidR="00EB668C" w:rsidRDefault="00EB668C" w:rsidP="00EB668C">
            <w:pPr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Speaker Submission Deadline</w:t>
            </w:r>
            <w:r>
              <w:rPr>
                <w:b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0B8EECE5" w14:textId="4837A4C9" w:rsidR="00EB668C" w:rsidRDefault="00EB668C" w:rsidP="00EB668C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30BDE234">
              <w:rPr>
                <w:rFonts w:ascii="Cambria" w:eastAsia="Cambria" w:hAnsi="Cambria" w:cs="Cambria"/>
                <w:sz w:val="28"/>
                <w:szCs w:val="28"/>
              </w:rPr>
              <w:t>Fri., June 4, 2021</w:t>
            </w:r>
          </w:p>
        </w:tc>
      </w:tr>
      <w:tr w:rsidR="00EB668C" w14:paraId="2EA00B96" w14:textId="77777777" w:rsidTr="00EB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20A5390A" w14:textId="77777777" w:rsidR="00EB668C" w:rsidRDefault="00EB668C" w:rsidP="00EB668C">
            <w:pPr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Course Material Submission Deadline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7D89E841" w14:textId="60AAADF0" w:rsidR="00EB668C" w:rsidRDefault="00EB668C" w:rsidP="00EB668C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0BDE234">
              <w:rPr>
                <w:rFonts w:ascii="Cambria" w:eastAsia="Cambria" w:hAnsi="Cambria" w:cs="Cambria"/>
                <w:sz w:val="28"/>
                <w:szCs w:val="28"/>
              </w:rPr>
              <w:t>Tues., Aug. 31, 2021</w:t>
            </w:r>
          </w:p>
        </w:tc>
      </w:tr>
    </w:tbl>
    <w:p w14:paraId="2C496C50" w14:textId="77777777" w:rsidR="004427D6" w:rsidRDefault="004427D6" w:rsidP="00031F56">
      <w:pPr>
        <w:ind w:left="0"/>
        <w:rPr>
          <w:rFonts w:ascii="Gill Sans" w:hAnsi="Gill Sans" w:cs="Gill Sans"/>
          <w:i/>
          <w:vertAlign w:val="superscript"/>
        </w:rPr>
      </w:pPr>
    </w:p>
    <w:p w14:paraId="74F200A1" w14:textId="77777777" w:rsidR="00FA3AE9" w:rsidRPr="00D8771F" w:rsidRDefault="00FA3AE9" w:rsidP="00FA3AE9">
      <w:pPr>
        <w:jc w:val="center"/>
        <w:rPr>
          <w:rFonts w:ascii="Gill Sans" w:hAnsi="Gill Sans" w:cs="Gill Sans"/>
          <w:i/>
        </w:rPr>
      </w:pPr>
      <w:r w:rsidRPr="00D8771F">
        <w:rPr>
          <w:rFonts w:ascii="Gill Sans" w:hAnsi="Gill Sans" w:cs="Gill Sans"/>
          <w:i/>
          <w:vertAlign w:val="superscript"/>
        </w:rPr>
        <w:t>‡</w:t>
      </w:r>
      <w:r w:rsidRPr="00D8771F">
        <w:rPr>
          <w:rFonts w:ascii="Gill Sans" w:hAnsi="Gill Sans" w:cs="Gill Sans"/>
          <w:i/>
        </w:rPr>
        <w:t xml:space="preserve">ACC confirms program organizer and </w:t>
      </w:r>
      <w:r>
        <w:rPr>
          <w:rFonts w:ascii="Gill Sans" w:hAnsi="Gill Sans" w:cs="Gill Sans"/>
          <w:i/>
        </w:rPr>
        <w:t>speaker</w:t>
      </w:r>
      <w:r w:rsidRPr="00D8771F">
        <w:rPr>
          <w:rFonts w:ascii="Gill Sans" w:hAnsi="Gill Sans" w:cs="Gill Sans"/>
          <w:i/>
        </w:rPr>
        <w:t xml:space="preserve"> submissions on rolling basis</w:t>
      </w:r>
    </w:p>
    <w:p w14:paraId="0988210D" w14:textId="77777777" w:rsidR="00FA3AE9" w:rsidRPr="009D5A6B" w:rsidRDefault="00FA3AE9" w:rsidP="009D5A6B">
      <w:pPr>
        <w:pStyle w:val="BodyText"/>
      </w:pPr>
    </w:p>
    <w:sectPr w:rsidR="00FA3AE9" w:rsidRPr="009D5A6B" w:rsidSect="00B652FA">
      <w:footerReference w:type="even" r:id="rId48"/>
      <w:footerReference w:type="default" r:id="rId49"/>
      <w:footerReference w:type="first" r:id="rId50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515BF" w14:textId="77777777" w:rsidR="00F11715" w:rsidRDefault="00F11715">
      <w:r>
        <w:separator/>
      </w:r>
    </w:p>
  </w:endnote>
  <w:endnote w:type="continuationSeparator" w:id="0">
    <w:p w14:paraId="0BB4915E" w14:textId="77777777" w:rsidR="00F11715" w:rsidRDefault="00F1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07F81" w14:textId="77777777" w:rsidR="00E31308" w:rsidRDefault="00E313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185825" w14:textId="77777777" w:rsidR="00E31308" w:rsidRDefault="00E31308">
    <w:pPr>
      <w:pStyle w:val="Footer"/>
    </w:pPr>
  </w:p>
  <w:p w14:paraId="22FA6D04" w14:textId="77777777" w:rsidR="00E31308" w:rsidRDefault="00E313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0CF72" w14:textId="77777777" w:rsidR="00E31308" w:rsidRDefault="00E31308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1DBF">
      <w:rPr>
        <w:rStyle w:val="PageNumber"/>
        <w:noProof/>
      </w:rPr>
      <w:t>6</w:t>
    </w:r>
    <w:r>
      <w:rPr>
        <w:rStyle w:val="PageNumber"/>
      </w:rPr>
      <w:fldChar w:fldCharType="end"/>
    </w:r>
  </w:p>
  <w:p w14:paraId="14E318AA" w14:textId="77777777" w:rsidR="00E31308" w:rsidRDefault="00E313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7CE8" w14:textId="77777777" w:rsidR="00E31308" w:rsidRDefault="00E31308" w:rsidP="00C279A2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A7841" w14:textId="77777777" w:rsidR="00F11715" w:rsidRDefault="00F11715">
      <w:r>
        <w:separator/>
      </w:r>
    </w:p>
  </w:footnote>
  <w:footnote w:type="continuationSeparator" w:id="0">
    <w:p w14:paraId="06E5D1A0" w14:textId="77777777" w:rsidR="00F11715" w:rsidRDefault="00F1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2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68"/>
    <w:rsid w:val="000211F9"/>
    <w:rsid w:val="00031F56"/>
    <w:rsid w:val="00060DE5"/>
    <w:rsid w:val="00061501"/>
    <w:rsid w:val="000755E1"/>
    <w:rsid w:val="000807DC"/>
    <w:rsid w:val="00090208"/>
    <w:rsid w:val="000F1F1F"/>
    <w:rsid w:val="000F556D"/>
    <w:rsid w:val="0012371C"/>
    <w:rsid w:val="00141D2A"/>
    <w:rsid w:val="0014455C"/>
    <w:rsid w:val="001C684A"/>
    <w:rsid w:val="00222AA3"/>
    <w:rsid w:val="002331DF"/>
    <w:rsid w:val="00234B80"/>
    <w:rsid w:val="00246216"/>
    <w:rsid w:val="002667D3"/>
    <w:rsid w:val="002B1C9D"/>
    <w:rsid w:val="002F79EE"/>
    <w:rsid w:val="00312609"/>
    <w:rsid w:val="00337F86"/>
    <w:rsid w:val="003420B6"/>
    <w:rsid w:val="00346A15"/>
    <w:rsid w:val="00346F84"/>
    <w:rsid w:val="0037083B"/>
    <w:rsid w:val="003A513B"/>
    <w:rsid w:val="003F3E66"/>
    <w:rsid w:val="003F7B28"/>
    <w:rsid w:val="004139C3"/>
    <w:rsid w:val="00422509"/>
    <w:rsid w:val="00431F9E"/>
    <w:rsid w:val="004427D6"/>
    <w:rsid w:val="0045363A"/>
    <w:rsid w:val="00467C9F"/>
    <w:rsid w:val="00472CCA"/>
    <w:rsid w:val="00476B29"/>
    <w:rsid w:val="004D2DCA"/>
    <w:rsid w:val="004F2C6B"/>
    <w:rsid w:val="00500CA0"/>
    <w:rsid w:val="00584F19"/>
    <w:rsid w:val="006170C0"/>
    <w:rsid w:val="006521D0"/>
    <w:rsid w:val="006614F2"/>
    <w:rsid w:val="006A2EB4"/>
    <w:rsid w:val="006A3B9A"/>
    <w:rsid w:val="00711B33"/>
    <w:rsid w:val="00711F67"/>
    <w:rsid w:val="007233F5"/>
    <w:rsid w:val="00740EC7"/>
    <w:rsid w:val="00787EEC"/>
    <w:rsid w:val="007A0149"/>
    <w:rsid w:val="007B2EF9"/>
    <w:rsid w:val="007F2DAB"/>
    <w:rsid w:val="0080390F"/>
    <w:rsid w:val="00816192"/>
    <w:rsid w:val="00845F7C"/>
    <w:rsid w:val="00885984"/>
    <w:rsid w:val="00890507"/>
    <w:rsid w:val="008D6D27"/>
    <w:rsid w:val="008F326C"/>
    <w:rsid w:val="009B3B62"/>
    <w:rsid w:val="009C3BB1"/>
    <w:rsid w:val="009D2D35"/>
    <w:rsid w:val="009D5A6B"/>
    <w:rsid w:val="00A04DBA"/>
    <w:rsid w:val="00A24893"/>
    <w:rsid w:val="00A52BDA"/>
    <w:rsid w:val="00A82428"/>
    <w:rsid w:val="00A84FAA"/>
    <w:rsid w:val="00A921D2"/>
    <w:rsid w:val="00B07928"/>
    <w:rsid w:val="00B345FE"/>
    <w:rsid w:val="00B373F7"/>
    <w:rsid w:val="00B652FA"/>
    <w:rsid w:val="00BB1DBF"/>
    <w:rsid w:val="00BC0D75"/>
    <w:rsid w:val="00BC70A3"/>
    <w:rsid w:val="00BF1196"/>
    <w:rsid w:val="00C130AA"/>
    <w:rsid w:val="00C279A2"/>
    <w:rsid w:val="00C4045C"/>
    <w:rsid w:val="00C62BE5"/>
    <w:rsid w:val="00CB155B"/>
    <w:rsid w:val="00D23E20"/>
    <w:rsid w:val="00D36A0F"/>
    <w:rsid w:val="00D43F5C"/>
    <w:rsid w:val="00D54E68"/>
    <w:rsid w:val="00D66823"/>
    <w:rsid w:val="00D86A5B"/>
    <w:rsid w:val="00D90A0E"/>
    <w:rsid w:val="00D93109"/>
    <w:rsid w:val="00DC0A79"/>
    <w:rsid w:val="00DD7E90"/>
    <w:rsid w:val="00E130CF"/>
    <w:rsid w:val="00E23552"/>
    <w:rsid w:val="00E31308"/>
    <w:rsid w:val="00E57E92"/>
    <w:rsid w:val="00E708E5"/>
    <w:rsid w:val="00E77A2C"/>
    <w:rsid w:val="00EA1F4A"/>
    <w:rsid w:val="00EA23ED"/>
    <w:rsid w:val="00EB668C"/>
    <w:rsid w:val="00EB7F7E"/>
    <w:rsid w:val="00EC39F4"/>
    <w:rsid w:val="00EC3AE5"/>
    <w:rsid w:val="00F11715"/>
    <w:rsid w:val="00F4755C"/>
    <w:rsid w:val="00F620C9"/>
    <w:rsid w:val="00F9308D"/>
    <w:rsid w:val="00FA3AE9"/>
    <w:rsid w:val="00FF3D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3B1C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TableGrid">
    <w:name w:val="Table Grid"/>
    <w:basedOn w:val="TableNormal"/>
    <w:uiPriority w:val="59"/>
    <w:rsid w:val="009D5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5A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6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6B"/>
    <w:rPr>
      <w:rFonts w:ascii="Arial" w:hAnsi="Arial"/>
      <w:spacing w:val="-5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5A6B"/>
    <w:rPr>
      <w:rFonts w:ascii="Arial" w:hAnsi="Arial"/>
      <w:spacing w:val="-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A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A6B"/>
    <w:rPr>
      <w:rFonts w:ascii="Lucida Grande" w:hAnsi="Lucida Grande" w:cs="Lucida Grande"/>
      <w:spacing w:val="-5"/>
      <w:sz w:val="18"/>
      <w:szCs w:val="18"/>
    </w:rPr>
  </w:style>
  <w:style w:type="paragraph" w:styleId="ListParagraph">
    <w:name w:val="List Paragraph"/>
    <w:basedOn w:val="Normal"/>
    <w:uiPriority w:val="34"/>
    <w:qFormat/>
    <w:rsid w:val="009D5A6B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9D5A6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D5A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6A15"/>
    <w:rPr>
      <w:color w:val="800080" w:themeColor="followedHyperlink"/>
      <w:u w:val="single"/>
    </w:rPr>
  </w:style>
  <w:style w:type="paragraph" w:customStyle="1" w:styleId="p1">
    <w:name w:val="p1"/>
    <w:basedOn w:val="Normal"/>
    <w:rsid w:val="00F620C9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F620C9"/>
  </w:style>
  <w:style w:type="character" w:styleId="UnresolvedMention">
    <w:name w:val="Unresolved Mention"/>
    <w:basedOn w:val="DefaultParagraphFont"/>
    <w:uiPriority w:val="99"/>
    <w:rsid w:val="00A8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.com/resource-library/invention-disclosure-form-0" TargetMode="External"/><Relationship Id="rId18" Type="http://schemas.openxmlformats.org/officeDocument/2006/relationships/hyperlink" Target="https://www.acc.com/resource-library/sponsorship-checklist" TargetMode="External"/><Relationship Id="rId26" Type="http://schemas.openxmlformats.org/officeDocument/2006/relationships/hyperlink" Target="https://community.acc.com/communities/community-home/digestviewer/viewthread?GroupId=103&amp;MessageKey=0ebf87a1-dda8-436a-8fa2-e6ba9ca45b14&amp;CommunityKey=44f61cc0-9b4d-4e57-a7a7-721b51e12e44&amp;tab=digestviewer&amp;ReturnUrl=%2fcommunities%2fcommunity-home%2fdigestviewer%3fCommunityKey%3d44f61cc0-9b4d-4e57-a7a7-721b51e12e44" TargetMode="External"/><Relationship Id="rId39" Type="http://schemas.openxmlformats.org/officeDocument/2006/relationships/hyperlink" Target="http://community.acc.com/viewthread?MessageKey=7AE75FB1-86F6-43E0-BC20-CD58E8BCF9C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cc.com/resource-library/navigating-us-legal-issues-modern-advertising-campaigns" TargetMode="External"/><Relationship Id="rId34" Type="http://schemas.openxmlformats.org/officeDocument/2006/relationships/hyperlink" Target="https://community.acc.com/communities/community-home/digestviewer/viewthread?GroupId=103&amp;MessageKey=0a136349-50ba-42f0-a53e-dac7138fcaed&amp;CommunityKey=44f61cc0-9b4d-4e57-a7a7-721b51e12e44&amp;tab=digestviewer&amp;ReturnUrl=%2fcommunities%2fcommunity-home%2fdigestviewer%3fCommunityKey%3d44f61cc0-9b4d-4e57-a7a7-721b51e12e44" TargetMode="External"/><Relationship Id="rId42" Type="http://schemas.openxmlformats.org/officeDocument/2006/relationships/hyperlink" Target="http://community.acc.com/viewthread?MessageKey=94A37C90-2CE8-478B-9865-8C63EDBC1C4C" TargetMode="External"/><Relationship Id="rId47" Type="http://schemas.openxmlformats.org/officeDocument/2006/relationships/hyperlink" Target="http://community.acc.com/viewthread?MessageKey=4AF009FF-FD49-421C-A1A9-AC9C01C97676" TargetMode="Externa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Invention%20Disclosure%20Assessment" TargetMode="External"/><Relationship Id="rId17" Type="http://schemas.openxmlformats.org/officeDocument/2006/relationships/hyperlink" Target="https://www.acc.com/resource-library/sample-work-hire-agreement" TargetMode="External"/><Relationship Id="rId25" Type="http://schemas.openxmlformats.org/officeDocument/2006/relationships/hyperlink" Target="https://community.acc.com/communities/community-home/digestviewer/viewthread?GroupId=103&amp;MessageKey=3de29e08-6de5-47f4-8289-38fe97077c50&amp;CommunityKey=44f61cc0-9b4d-4e57-a7a7-721b51e12e44&amp;tab=digestviewer&amp;ReturnUrl=%2fcommunities%2fcommunity-home%2fdigestviewer%3fCommunityKey%3d44f61cc0-9b4d-4e57-a7a7-721b51e12e44" TargetMode="External"/><Relationship Id="rId33" Type="http://schemas.openxmlformats.org/officeDocument/2006/relationships/hyperlink" Target="https://community.acc.com/communities/community-home/digestviewer/viewthread?GroupId=103&amp;MessageKey=936d562d-eef0-4e0d-b9dc-ca23fff94288&amp;CommunityKey=44f61cc0-9b4d-4e57-a7a7-721b51e12e44&amp;tab=digestviewer&amp;ReturnUrl=%2fcommunities%2fcommunity-home%2fdigestviewer%3fCommunityKey%3d44f61cc0-9b4d-4e57-a7a7-721b51e12e44" TargetMode="External"/><Relationship Id="rId38" Type="http://schemas.openxmlformats.org/officeDocument/2006/relationships/hyperlink" Target="http://community.acc.com/viewthread?MessageKey=4912FFC7-3B8B-456E-BC17-8AC8204ADA5E" TargetMode="External"/><Relationship Id="rId46" Type="http://schemas.openxmlformats.org/officeDocument/2006/relationships/hyperlink" Target="http://community.acc.com/viewthread?MessageKey=93F5EA40-C4C9-4425-9F58-8AA799DD70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c.com/resource-library/sample-invention-record" TargetMode="External"/><Relationship Id="rId20" Type="http://schemas.openxmlformats.org/officeDocument/2006/relationships/hyperlink" Target="https://www.acc.com/resource-library/checklist-settlement-options-trademark-cases" TargetMode="External"/><Relationship Id="rId29" Type="http://schemas.openxmlformats.org/officeDocument/2006/relationships/hyperlink" Target="https://community.acc.com/communities/community-home/digestviewer/viewthread?GroupId=103&amp;MessageKey=b62cca06-93f8-4f03-9a2f-b5e7c019b2ff&amp;CommunityKey=44f61cc0-9b4d-4e57-a7a7-721b51e12e44&amp;tab=digestviewer&amp;ReturnUrl=%2fcommunities%2fcommunity-home%2fdigestviewer%3fCommunityKey%3d44f61cc0-9b4d-4e57-a7a7-721b51e12e44" TargetMode="External"/><Relationship Id="rId41" Type="http://schemas.openxmlformats.org/officeDocument/2006/relationships/hyperlink" Target="http://community.acc.com/viewthread?MessageKey=15EEF40B-BF94-4F4E-B9F5-2D660EA10A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.com/resource-library/due-diligence-request-list-ip" TargetMode="External"/><Relationship Id="rId24" Type="http://schemas.openxmlformats.org/officeDocument/2006/relationships/hyperlink" Target="https://community.acc.com/communities/community-home/digestviewer/viewthread?GroupId=103&amp;MessageKey=6d5a9fc8-c4cd-4af8-be37-a1701a4be723&amp;CommunityKey=44f61cc0-9b4d-4e57-a7a7-721b51e12e44&amp;tab=digestviewer&amp;ReturnUrl=%2fcommunities%2fcommunity-home%2fdigestviewer%3fCommunityKey%3d44f61cc0-9b4d-4e57-a7a7-721b51e12e44" TargetMode="External"/><Relationship Id="rId32" Type="http://schemas.openxmlformats.org/officeDocument/2006/relationships/hyperlink" Target="https://community.acc.com/communities/community-home/digestviewer/viewthread?GroupId=103&amp;MessageKey=539cbe61-107e-4778-8a47-6f7fc8464a19&amp;CommunityKey=44f61cc0-9b4d-4e57-a7a7-721b51e12e44&amp;tab=digestviewer&amp;ReturnUrl=%2fcommunities%2fcommunity-home%2fdigestviewer%3fCommunityKey%3d44f61cc0-9b4d-4e57-a7a7-721b51e12e44" TargetMode="External"/><Relationship Id="rId37" Type="http://schemas.openxmlformats.org/officeDocument/2006/relationships/hyperlink" Target="http://community.acc.com/viewthread?MessageKey=9BBA4B59-7413-4136-8733-CFD4F64D7725" TargetMode="External"/><Relationship Id="rId40" Type="http://schemas.openxmlformats.org/officeDocument/2006/relationships/hyperlink" Target="http://community.acc.com/viewthread?MessageKey=8DE4B8F0-C9A8-49A6-8424-9C590DA3E07E" TargetMode="External"/><Relationship Id="rId45" Type="http://schemas.openxmlformats.org/officeDocument/2006/relationships/hyperlink" Target="http://community.acc.com/viewthread?MessageKey=8B527E42-8B3C-40E6-A1A8-9CA02B026C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c.com/resource-library/patent-application-template" TargetMode="External"/><Relationship Id="rId23" Type="http://schemas.openxmlformats.org/officeDocument/2006/relationships/hyperlink" Target="https://community.acc.com/communities/community-home/digestviewer/viewthread?GroupId=103&amp;MessageKey=b8781a16-ec6a-4642-b6f4-e410f384e7c7&amp;CommunityKey=44f61cc0-9b4d-4e57-a7a7-721b51e12e44&amp;tab=digestviewer&amp;ReturnUrl=%2fcommunities%2fcommunity-home%2fdigestviewer%3fCommunityKey%3d44f61cc0-9b4d-4e57-a7a7-721b51e12e44" TargetMode="External"/><Relationship Id="rId28" Type="http://schemas.openxmlformats.org/officeDocument/2006/relationships/hyperlink" Target="https://community.acc.com/communities/community-home/digestviewer/viewthread?GroupId=103&amp;MessageKey=7244b496-0415-4958-b65b-b370d2334a9b&amp;CommunityKey=44f61cc0-9b4d-4e57-a7a7-721b51e12e44&amp;tab=digestviewer&amp;ReturnUrl=%2fcommunities%2fcommunity-home%2fdigestviewer%3fCommunityKey%3d44f61cc0-9b4d-4e57-a7a7-721b51e12e44" TargetMode="External"/><Relationship Id="rId36" Type="http://schemas.openxmlformats.org/officeDocument/2006/relationships/hyperlink" Target="http://community.acc.com/viewthread?MessageKey=B2378739-1077-430A-8324-C45A2119D967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www.acc.com/resource-library/copyright-license-letter-sample" TargetMode="External"/><Relationship Id="rId19" Type="http://schemas.openxmlformats.org/officeDocument/2006/relationships/hyperlink" Target="https://www.acc.com/resource-library/sweepstakes-form-template" TargetMode="External"/><Relationship Id="rId31" Type="http://schemas.openxmlformats.org/officeDocument/2006/relationships/hyperlink" Target="https://community.acc.com/communities/community-home/digestviewer/viewthread?GroupId=103&amp;MessageKey=24a26488-ca4a-45cf-b794-b42654c472e9&amp;CommunityKey=44f61cc0-9b4d-4e57-a7a7-721b51e12e44&amp;tab=digestviewer&amp;ReturnUrl=%2fcommunities%2fcommunity-home%2fdigestviewer%3fCommunityKey%3d44f61cc0-9b4d-4e57-a7a7-721b51e12e44" TargetMode="External"/><Relationship Id="rId44" Type="http://schemas.openxmlformats.org/officeDocument/2006/relationships/hyperlink" Target="http://community.acc.com/viewthread?MessageKey=9D1C51C8-6C8D-4D3E-A563-1814A0CCE29A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cc.com/resource-library/copyright-assignment-agreement-1" TargetMode="External"/><Relationship Id="rId14" Type="http://schemas.openxmlformats.org/officeDocument/2006/relationships/hyperlink" Target="https://www.acc.com/resource-library/ip-due-diligence-checklist" TargetMode="External"/><Relationship Id="rId22" Type="http://schemas.openxmlformats.org/officeDocument/2006/relationships/hyperlink" Target="https://community.acc.com/communities/community-home/digestviewer/viewthread?GroupId=103&amp;MessageKey=08e18809-4e54-474f-9dac-4bb20510ed3c&amp;CommunityKey=44f61cc0-9b4d-4e57-a7a7-721b51e12e44&amp;tab=digestviewer&amp;ReturnUrl=%2fcommunities%2fcommunity-home%2fdigestviewer%3fCommunityKey%3d44f61cc0-9b4d-4e57-a7a7-721b51e12e44" TargetMode="External"/><Relationship Id="rId27" Type="http://schemas.openxmlformats.org/officeDocument/2006/relationships/hyperlink" Target="https://community.acc.com/communities/community-home/digestviewer/viewthread?GroupId=103&amp;MessageKey=0105c605-3f6a-43d2-a8a8-36c66df5437a&amp;CommunityKey=44f61cc0-9b4d-4e57-a7a7-721b51e12e44&amp;tab=digestviewer&amp;ReturnUrl=%2fcommunities%2fcommunity-home%2fdigestviewer%3fCommunityKey%3d44f61cc0-9b4d-4e57-a7a7-721b51e12e44" TargetMode="External"/><Relationship Id="rId30" Type="http://schemas.openxmlformats.org/officeDocument/2006/relationships/hyperlink" Target="https://community.acc.com/communities/community-home/digestviewer/viewthread?GroupId=103&amp;MessageKey=81dede8e-866f-4689-a4aa-1f024b7035f8&amp;CommunityKey=44f61cc0-9b4d-4e57-a7a7-721b51e12e44&amp;tab=digestviewer&amp;ReturnUrl=%2fcommunities%2fcommunity-home%2fdigestviewer%3fCommunityKey%3d44f61cc0-9b4d-4e57-a7a7-721b51e12e44" TargetMode="External"/><Relationship Id="rId35" Type="http://schemas.openxmlformats.org/officeDocument/2006/relationships/hyperlink" Target="http://community.acc.com/viewthread?MessageKey=6D06542D-848A-4B00-BD18-1C43C1156202" TargetMode="External"/><Relationship Id="rId43" Type="http://schemas.openxmlformats.org/officeDocument/2006/relationships/hyperlink" Target="http://community.acc.com/viewthread?MessageKey=6A9BD134-1111-4692-911C-3D97D6B74568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tif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76A8F-47DD-453F-8CFB-59905163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17367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Meroka</dc:creator>
  <cp:keywords/>
  <dc:description/>
  <cp:lastModifiedBy>Sherwin Valerio</cp:lastModifiedBy>
  <cp:revision>2</cp:revision>
  <cp:lastPrinted>2017-10-10T20:05:00Z</cp:lastPrinted>
  <dcterms:created xsi:type="dcterms:W3CDTF">2020-12-10T22:23:00Z</dcterms:created>
  <dcterms:modified xsi:type="dcterms:W3CDTF">2020-12-10T22:23:00Z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