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FE017" w14:textId="77777777" w:rsidR="003D3850" w:rsidRDefault="000F11D0" w:rsidP="003D3850">
      <w:pPr>
        <w:pStyle w:val="DocumentLabel"/>
        <w:rPr>
          <w:sz w:val="48"/>
        </w:rPr>
      </w:pPr>
      <w:r w:rsidRPr="00E50177">
        <w:rPr>
          <w:rFonts w:cs="Arial"/>
          <w:noProof/>
        </w:rPr>
        <w:drawing>
          <wp:anchor distT="0" distB="0" distL="114300" distR="114300" simplePos="0" relativeHeight="251659264" behindDoc="0" locked="0" layoutInCell="1" allowOverlap="1" wp14:anchorId="72FD88B7" wp14:editId="67609787">
            <wp:simplePos x="0" y="0"/>
            <wp:positionH relativeFrom="column">
              <wp:posOffset>-131674</wp:posOffset>
            </wp:positionH>
            <wp:positionV relativeFrom="paragraph">
              <wp:posOffset>-81153</wp:posOffset>
            </wp:positionV>
            <wp:extent cx="3479800" cy="796925"/>
            <wp:effectExtent l="0" t="0" r="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79800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0DD313" w14:textId="77777777" w:rsidR="003D3850" w:rsidRDefault="003D3850" w:rsidP="003D3850">
      <w:pPr>
        <w:pStyle w:val="DocumentLabel"/>
        <w:rPr>
          <w:sz w:val="48"/>
        </w:rPr>
      </w:pPr>
    </w:p>
    <w:p w14:paraId="357A6AD1" w14:textId="36E4A800" w:rsidR="003D3850" w:rsidRPr="002A6264" w:rsidRDefault="003D3850" w:rsidP="003D3850">
      <w:pPr>
        <w:pStyle w:val="DocumentLabel"/>
        <w:rPr>
          <w:sz w:val="48"/>
        </w:rPr>
      </w:pPr>
      <w:r w:rsidRPr="002A6264">
        <w:rPr>
          <w:sz w:val="48"/>
        </w:rPr>
        <w:t>Memo</w:t>
      </w:r>
    </w:p>
    <w:p w14:paraId="426CC82C" w14:textId="2141D916" w:rsidR="00CD3E2A" w:rsidRPr="00D216A4" w:rsidRDefault="00CD3E2A" w:rsidP="00CD3E2A">
      <w:pPr>
        <w:pStyle w:val="MessageHeaderFirst"/>
        <w:ind w:left="0" w:firstLine="0"/>
        <w:rPr>
          <w:sz w:val="24"/>
          <w:szCs w:val="24"/>
        </w:rPr>
      </w:pPr>
      <w:r w:rsidRPr="00D216A4">
        <w:rPr>
          <w:rStyle w:val="MessageHeaderLabel"/>
          <w:rFonts w:ascii="Arial" w:hAnsi="Arial"/>
          <w:spacing w:val="-25"/>
          <w:sz w:val="24"/>
          <w:szCs w:val="24"/>
        </w:rPr>
        <w:t>T</w:t>
      </w:r>
      <w:r w:rsidRPr="00D216A4">
        <w:rPr>
          <w:rStyle w:val="MessageHeaderLabel"/>
          <w:rFonts w:ascii="Arial" w:hAnsi="Arial"/>
          <w:sz w:val="24"/>
          <w:szCs w:val="24"/>
        </w:rPr>
        <w:t>o:</w:t>
      </w:r>
      <w:r w:rsidRPr="00D216A4">
        <w:rPr>
          <w:sz w:val="24"/>
          <w:szCs w:val="24"/>
        </w:rPr>
        <w:tab/>
      </w:r>
      <w:r>
        <w:rPr>
          <w:sz w:val="24"/>
          <w:szCs w:val="24"/>
        </w:rPr>
        <w:t xml:space="preserve">Financial Services </w:t>
      </w:r>
      <w:r w:rsidR="007776CA">
        <w:rPr>
          <w:sz w:val="24"/>
          <w:szCs w:val="24"/>
        </w:rPr>
        <w:t>Network</w:t>
      </w:r>
      <w:r>
        <w:rPr>
          <w:sz w:val="24"/>
          <w:szCs w:val="24"/>
        </w:rPr>
        <w:t xml:space="preserve"> Leadership</w:t>
      </w:r>
    </w:p>
    <w:p w14:paraId="62482A61" w14:textId="721DE0D7" w:rsidR="00CD3E2A" w:rsidRPr="00D216A4" w:rsidRDefault="00CD3E2A" w:rsidP="00CD3E2A">
      <w:pPr>
        <w:pStyle w:val="MessageHeader"/>
        <w:ind w:left="0" w:firstLine="0"/>
        <w:rPr>
          <w:sz w:val="24"/>
          <w:szCs w:val="24"/>
        </w:rPr>
      </w:pPr>
      <w:r w:rsidRPr="00D216A4">
        <w:rPr>
          <w:rStyle w:val="MessageHeaderLabel"/>
          <w:rFonts w:ascii="Arial" w:hAnsi="Arial"/>
          <w:sz w:val="24"/>
          <w:szCs w:val="24"/>
        </w:rPr>
        <w:t>From:</w:t>
      </w:r>
      <w:r w:rsidRPr="00D216A4">
        <w:rPr>
          <w:sz w:val="24"/>
          <w:szCs w:val="24"/>
        </w:rPr>
        <w:tab/>
      </w:r>
      <w:r>
        <w:rPr>
          <w:sz w:val="24"/>
          <w:szCs w:val="24"/>
        </w:rPr>
        <w:t>LaToya Tapscott</w:t>
      </w:r>
      <w:r w:rsidR="00486A60">
        <w:rPr>
          <w:sz w:val="24"/>
          <w:szCs w:val="24"/>
        </w:rPr>
        <w:t xml:space="preserve">, </w:t>
      </w:r>
      <w:r w:rsidR="007776CA">
        <w:rPr>
          <w:sz w:val="24"/>
          <w:szCs w:val="24"/>
        </w:rPr>
        <w:t>Network</w:t>
      </w:r>
      <w:r w:rsidR="00B62406">
        <w:rPr>
          <w:sz w:val="24"/>
          <w:szCs w:val="24"/>
        </w:rPr>
        <w:t>s</w:t>
      </w:r>
      <w:r w:rsidR="00486A60">
        <w:rPr>
          <w:sz w:val="24"/>
          <w:szCs w:val="24"/>
        </w:rPr>
        <w:t xml:space="preserve"> Manager</w:t>
      </w:r>
    </w:p>
    <w:p w14:paraId="0EAD7B0C" w14:textId="77777777" w:rsidR="003D3850" w:rsidRDefault="00CD3E2A" w:rsidP="003D3850">
      <w:pPr>
        <w:pStyle w:val="MessageHeader"/>
        <w:ind w:left="0" w:firstLine="0"/>
        <w:rPr>
          <w:sz w:val="24"/>
          <w:szCs w:val="24"/>
        </w:rPr>
      </w:pPr>
      <w:r w:rsidRPr="00D216A4">
        <w:rPr>
          <w:rStyle w:val="MessageHeaderLabel"/>
          <w:rFonts w:ascii="Arial" w:hAnsi="Arial"/>
          <w:sz w:val="24"/>
          <w:szCs w:val="24"/>
        </w:rPr>
        <w:t>Date:</w:t>
      </w:r>
      <w:r w:rsidRPr="00D216A4">
        <w:rPr>
          <w:sz w:val="24"/>
          <w:szCs w:val="24"/>
        </w:rPr>
        <w:tab/>
      </w:r>
      <w:r w:rsidR="003D3850">
        <w:rPr>
          <w:sz w:val="24"/>
          <w:szCs w:val="24"/>
        </w:rPr>
        <w:t>December 5, 2020</w:t>
      </w:r>
    </w:p>
    <w:p w14:paraId="51B80461" w14:textId="4E3A039A" w:rsidR="00CD3E2A" w:rsidRPr="00D216A4" w:rsidRDefault="00CD3E2A" w:rsidP="003D3850">
      <w:pPr>
        <w:pStyle w:val="MessageHeader"/>
        <w:ind w:left="0" w:firstLine="0"/>
        <w:rPr>
          <w:sz w:val="24"/>
          <w:szCs w:val="24"/>
        </w:rPr>
      </w:pPr>
      <w:r w:rsidRPr="00D216A4">
        <w:rPr>
          <w:rStyle w:val="MessageHeaderLabel"/>
          <w:rFonts w:ascii="Arial" w:hAnsi="Arial"/>
          <w:sz w:val="24"/>
          <w:szCs w:val="24"/>
        </w:rPr>
        <w:t>Re:</w:t>
      </w:r>
      <w:r w:rsidRPr="00D216A4">
        <w:rPr>
          <w:sz w:val="24"/>
          <w:szCs w:val="24"/>
        </w:rPr>
        <w:tab/>
      </w:r>
      <w:r w:rsidR="007776CA">
        <w:rPr>
          <w:sz w:val="24"/>
          <w:szCs w:val="24"/>
        </w:rPr>
        <w:t>20</w:t>
      </w:r>
      <w:r w:rsidR="00162837">
        <w:rPr>
          <w:sz w:val="24"/>
          <w:szCs w:val="24"/>
        </w:rPr>
        <w:t>2</w:t>
      </w:r>
      <w:r w:rsidR="003D3850">
        <w:rPr>
          <w:sz w:val="24"/>
          <w:szCs w:val="24"/>
        </w:rPr>
        <w:t>1</w:t>
      </w:r>
      <w:r w:rsidRPr="00D216A4">
        <w:rPr>
          <w:sz w:val="24"/>
          <w:szCs w:val="24"/>
        </w:rPr>
        <w:t xml:space="preserve"> Annual Meeting Call for Programs Data </w:t>
      </w:r>
    </w:p>
    <w:p w14:paraId="1B8CD189" w14:textId="63914A32" w:rsidR="00CD3E2A" w:rsidRDefault="00CD3E2A" w:rsidP="00CD3E2A">
      <w:pPr>
        <w:pStyle w:val="BodyText"/>
        <w:ind w:left="0"/>
        <w:rPr>
          <w:sz w:val="24"/>
          <w:szCs w:val="24"/>
        </w:rPr>
      </w:pPr>
      <w:r w:rsidRPr="00D216A4">
        <w:rPr>
          <w:sz w:val="24"/>
          <w:szCs w:val="24"/>
        </w:rPr>
        <w:t xml:space="preserve">In anticipation of the </w:t>
      </w:r>
      <w:r>
        <w:rPr>
          <w:sz w:val="24"/>
          <w:szCs w:val="24"/>
        </w:rPr>
        <w:t>20</w:t>
      </w:r>
      <w:r w:rsidR="0031617E">
        <w:rPr>
          <w:sz w:val="24"/>
          <w:szCs w:val="24"/>
        </w:rPr>
        <w:t>2</w:t>
      </w:r>
      <w:r w:rsidR="007C7807">
        <w:rPr>
          <w:sz w:val="24"/>
          <w:szCs w:val="24"/>
        </w:rPr>
        <w:t xml:space="preserve">0 </w:t>
      </w:r>
      <w:r w:rsidRPr="00D216A4">
        <w:rPr>
          <w:sz w:val="24"/>
          <w:szCs w:val="24"/>
        </w:rPr>
        <w:t>Annual Meeting Call for Programs opening</w:t>
      </w:r>
      <w:r w:rsidR="00A77930">
        <w:rPr>
          <w:sz w:val="24"/>
          <w:szCs w:val="24"/>
        </w:rPr>
        <w:t xml:space="preserve"> on </w:t>
      </w:r>
      <w:r w:rsidR="003D3850">
        <w:rPr>
          <w:sz w:val="24"/>
          <w:szCs w:val="24"/>
        </w:rPr>
        <w:t>December 8</w:t>
      </w:r>
      <w:r w:rsidRPr="00D216A4">
        <w:rPr>
          <w:sz w:val="24"/>
          <w:szCs w:val="24"/>
        </w:rPr>
        <w:t>, 20</w:t>
      </w:r>
      <w:r w:rsidR="003D3850">
        <w:rPr>
          <w:sz w:val="24"/>
          <w:szCs w:val="24"/>
        </w:rPr>
        <w:t>20</w:t>
      </w:r>
      <w:r w:rsidRPr="00D216A4">
        <w:rPr>
          <w:sz w:val="24"/>
          <w:szCs w:val="24"/>
        </w:rPr>
        <w:t>, b</w:t>
      </w:r>
      <w:r>
        <w:rPr>
          <w:sz w:val="24"/>
          <w:szCs w:val="24"/>
        </w:rPr>
        <w:t>elow you will find</w:t>
      </w:r>
      <w:r w:rsidRPr="00D216A4">
        <w:rPr>
          <w:sz w:val="24"/>
          <w:szCs w:val="24"/>
        </w:rPr>
        <w:t xml:space="preserve"> data to aid the </w:t>
      </w:r>
      <w:r w:rsidR="00A77930">
        <w:rPr>
          <w:sz w:val="24"/>
          <w:szCs w:val="24"/>
        </w:rPr>
        <w:t>Financial Services</w:t>
      </w:r>
      <w:r w:rsidRPr="00D216A4">
        <w:rPr>
          <w:sz w:val="24"/>
          <w:szCs w:val="24"/>
        </w:rPr>
        <w:t xml:space="preserve"> </w:t>
      </w:r>
      <w:r w:rsidR="007776CA">
        <w:rPr>
          <w:sz w:val="24"/>
          <w:szCs w:val="24"/>
        </w:rPr>
        <w:t>Network</w:t>
      </w:r>
      <w:r w:rsidRPr="00D216A4">
        <w:rPr>
          <w:sz w:val="24"/>
          <w:szCs w:val="24"/>
        </w:rPr>
        <w:t xml:space="preserve"> in developing </w:t>
      </w:r>
      <w:r>
        <w:rPr>
          <w:sz w:val="24"/>
          <w:szCs w:val="24"/>
        </w:rPr>
        <w:t xml:space="preserve">its </w:t>
      </w:r>
      <w:r w:rsidRPr="00D216A4">
        <w:rPr>
          <w:sz w:val="24"/>
          <w:szCs w:val="24"/>
        </w:rPr>
        <w:t xml:space="preserve">program submissions. All data provided is representative of </w:t>
      </w:r>
      <w:r w:rsidR="008E510F">
        <w:rPr>
          <w:sz w:val="24"/>
          <w:szCs w:val="24"/>
        </w:rPr>
        <w:t xml:space="preserve">relevant </w:t>
      </w:r>
      <w:r w:rsidRPr="00D216A4">
        <w:rPr>
          <w:sz w:val="24"/>
          <w:szCs w:val="24"/>
        </w:rPr>
        <w:t xml:space="preserve">activity from </w:t>
      </w:r>
      <w:r w:rsidR="008E510F">
        <w:rPr>
          <w:sz w:val="24"/>
          <w:szCs w:val="24"/>
        </w:rPr>
        <w:t>the past two fiscal years (</w:t>
      </w:r>
      <w:r w:rsidRPr="00D216A4">
        <w:rPr>
          <w:sz w:val="24"/>
          <w:szCs w:val="24"/>
        </w:rPr>
        <w:t>October 1, 201</w:t>
      </w:r>
      <w:r w:rsidR="003D3850">
        <w:rPr>
          <w:sz w:val="24"/>
          <w:szCs w:val="24"/>
        </w:rPr>
        <w:t>8</w:t>
      </w:r>
      <w:r w:rsidRPr="00D216A4">
        <w:rPr>
          <w:sz w:val="24"/>
          <w:szCs w:val="24"/>
        </w:rPr>
        <w:t xml:space="preserve"> through September </w:t>
      </w:r>
      <w:r w:rsidR="008C4423">
        <w:rPr>
          <w:sz w:val="24"/>
          <w:szCs w:val="24"/>
        </w:rPr>
        <w:t>30</w:t>
      </w:r>
      <w:r w:rsidRPr="00D216A4">
        <w:rPr>
          <w:sz w:val="24"/>
          <w:szCs w:val="24"/>
        </w:rPr>
        <w:t>, 20</w:t>
      </w:r>
      <w:r w:rsidR="003D3850">
        <w:rPr>
          <w:sz w:val="24"/>
          <w:szCs w:val="24"/>
        </w:rPr>
        <w:t>20</w:t>
      </w:r>
      <w:r w:rsidR="008E510F">
        <w:rPr>
          <w:sz w:val="24"/>
          <w:szCs w:val="24"/>
        </w:rPr>
        <w:t>)</w:t>
      </w:r>
      <w:r w:rsidRPr="00D216A4">
        <w:rPr>
          <w:sz w:val="24"/>
          <w:szCs w:val="24"/>
        </w:rPr>
        <w:t>.</w:t>
      </w:r>
    </w:p>
    <w:p w14:paraId="65AAF663" w14:textId="5D95FB11" w:rsidR="006B0464" w:rsidRPr="00D216A4" w:rsidRDefault="006B0464" w:rsidP="00D7205D">
      <w:pPr>
        <w:pStyle w:val="Heading1"/>
        <w:ind w:left="0"/>
        <w:rPr>
          <w:caps/>
          <w:sz w:val="24"/>
          <w:szCs w:val="24"/>
        </w:rPr>
      </w:pPr>
      <w:r w:rsidRPr="00023734">
        <w:rPr>
          <w:caps/>
          <w:sz w:val="24"/>
          <w:szCs w:val="24"/>
        </w:rPr>
        <w:t>201</w:t>
      </w:r>
      <w:r w:rsidR="003D3850">
        <w:rPr>
          <w:caps/>
          <w:sz w:val="24"/>
          <w:szCs w:val="24"/>
        </w:rPr>
        <w:t>8</w:t>
      </w:r>
      <w:r w:rsidRPr="00023734">
        <w:rPr>
          <w:caps/>
          <w:sz w:val="24"/>
          <w:szCs w:val="24"/>
        </w:rPr>
        <w:t>-20</w:t>
      </w:r>
      <w:r w:rsidR="003D3850">
        <w:rPr>
          <w:caps/>
          <w:sz w:val="24"/>
          <w:szCs w:val="24"/>
        </w:rPr>
        <w:t>20</w:t>
      </w:r>
      <w:r w:rsidR="001E3232" w:rsidRPr="00023734">
        <w:rPr>
          <w:caps/>
          <w:sz w:val="24"/>
          <w:szCs w:val="24"/>
        </w:rPr>
        <w:t xml:space="preserve"> Annual Meeting Financial Services</w:t>
      </w:r>
      <w:r w:rsidRPr="00023734">
        <w:rPr>
          <w:caps/>
          <w:sz w:val="24"/>
          <w:szCs w:val="24"/>
        </w:rPr>
        <w:t xml:space="preserve"> </w:t>
      </w:r>
      <w:r w:rsidR="007776CA">
        <w:rPr>
          <w:caps/>
          <w:sz w:val="24"/>
          <w:szCs w:val="24"/>
        </w:rPr>
        <w:t>Network</w:t>
      </w:r>
      <w:r w:rsidR="00A77930">
        <w:rPr>
          <w:caps/>
          <w:sz w:val="24"/>
          <w:szCs w:val="24"/>
        </w:rPr>
        <w:t xml:space="preserve"> submissions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90"/>
        <w:gridCol w:w="1375"/>
      </w:tblGrid>
      <w:tr w:rsidR="004A032E" w:rsidRPr="00D216A4" w14:paraId="38EF2B68" w14:textId="77777777" w:rsidTr="003D3850">
        <w:tc>
          <w:tcPr>
            <w:tcW w:w="8090" w:type="dxa"/>
            <w:tcBorders>
              <w:bottom w:val="single" w:sz="4" w:space="0" w:color="auto"/>
            </w:tcBorders>
            <w:shd w:val="clear" w:color="auto" w:fill="000000"/>
          </w:tcPr>
          <w:p w14:paraId="328AAE16" w14:textId="4A60F991" w:rsidR="004A032E" w:rsidRPr="00D216A4" w:rsidRDefault="004A032E" w:rsidP="006B0464">
            <w:pPr>
              <w:pStyle w:val="BodyText"/>
              <w:ind w:left="0"/>
              <w:rPr>
                <w:b/>
                <w:sz w:val="24"/>
                <w:szCs w:val="24"/>
              </w:rPr>
            </w:pPr>
            <w:r w:rsidRPr="00D216A4">
              <w:rPr>
                <w:b/>
                <w:sz w:val="24"/>
                <w:szCs w:val="24"/>
              </w:rPr>
              <w:t>Session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shd w:val="clear" w:color="auto" w:fill="000000"/>
          </w:tcPr>
          <w:p w14:paraId="0D455C36" w14:textId="0552FFC7" w:rsidR="004A032E" w:rsidRPr="00D216A4" w:rsidRDefault="004A032E" w:rsidP="006B0464">
            <w:pPr>
              <w:pStyle w:val="BodyText"/>
              <w:ind w:left="0"/>
              <w:rPr>
                <w:b/>
                <w:sz w:val="24"/>
                <w:szCs w:val="24"/>
              </w:rPr>
            </w:pPr>
            <w:r w:rsidRPr="00D216A4">
              <w:rPr>
                <w:b/>
                <w:sz w:val="24"/>
                <w:szCs w:val="24"/>
              </w:rPr>
              <w:t>Attendees</w:t>
            </w:r>
          </w:p>
        </w:tc>
      </w:tr>
      <w:tr w:rsidR="003D3850" w:rsidRPr="00CD3E2A" w14:paraId="79F6BDF4" w14:textId="77777777" w:rsidTr="003D3850">
        <w:tc>
          <w:tcPr>
            <w:tcW w:w="9465" w:type="dxa"/>
            <w:gridSpan w:val="2"/>
            <w:shd w:val="clear" w:color="auto" w:fill="B3B3B3"/>
          </w:tcPr>
          <w:p w14:paraId="302E4416" w14:textId="3232667C" w:rsidR="003D3850" w:rsidRDefault="003D3850" w:rsidP="003E7A2C">
            <w:pPr>
              <w:pStyle w:val="BodyText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2020</w:t>
            </w:r>
          </w:p>
        </w:tc>
      </w:tr>
      <w:tr w:rsidR="003D3850" w:rsidRPr="00CD3E2A" w14:paraId="0AF04B1D" w14:textId="77777777" w:rsidTr="003D3850">
        <w:tc>
          <w:tcPr>
            <w:tcW w:w="8090" w:type="dxa"/>
            <w:shd w:val="clear" w:color="auto" w:fill="auto"/>
          </w:tcPr>
          <w:p w14:paraId="0FAE25D6" w14:textId="12087F94" w:rsidR="003D3850" w:rsidRPr="003D3850" w:rsidRDefault="003D3850" w:rsidP="003D3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3850">
              <w:rPr>
                <w:rFonts w:ascii="Arial" w:hAnsi="Arial" w:cs="Arial"/>
                <w:color w:val="000000"/>
                <w:sz w:val="24"/>
                <w:szCs w:val="24"/>
              </w:rPr>
              <w:t>Currency and Cryptocurrency at a Crossroads</w:t>
            </w:r>
          </w:p>
          <w:p w14:paraId="4B111F42" w14:textId="52926DA3" w:rsidR="003D3850" w:rsidRPr="003D3850" w:rsidRDefault="003D3850" w:rsidP="001F7F62">
            <w:pPr>
              <w:pStyle w:val="BodyText"/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1375" w:type="dxa"/>
            <w:shd w:val="clear" w:color="auto" w:fill="auto"/>
          </w:tcPr>
          <w:p w14:paraId="6AE915A5" w14:textId="02179AE2" w:rsidR="003D3850" w:rsidRPr="00856847" w:rsidRDefault="003D3850" w:rsidP="001F7F62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69</w:t>
            </w:r>
          </w:p>
        </w:tc>
      </w:tr>
      <w:tr w:rsidR="003D3850" w:rsidRPr="00CD3E2A" w14:paraId="5C0E49D2" w14:textId="77777777" w:rsidTr="003D3850">
        <w:tc>
          <w:tcPr>
            <w:tcW w:w="8090" w:type="dxa"/>
            <w:shd w:val="clear" w:color="auto" w:fill="auto"/>
          </w:tcPr>
          <w:p w14:paraId="2B1C3C7D" w14:textId="0E208E87" w:rsidR="003D3850" w:rsidRPr="003D3850" w:rsidRDefault="003D3850" w:rsidP="003D3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3850">
              <w:rPr>
                <w:rFonts w:ascii="Arial" w:hAnsi="Arial" w:cs="Arial"/>
                <w:color w:val="000000"/>
                <w:sz w:val="24"/>
                <w:szCs w:val="24"/>
              </w:rPr>
              <w:t>LIBOR is Leaving in 2021: What You Need to Know</w:t>
            </w:r>
          </w:p>
          <w:p w14:paraId="3F7E47DD" w14:textId="5684EC74" w:rsidR="003D3850" w:rsidRPr="003D3850" w:rsidRDefault="003D3850" w:rsidP="001F7F62">
            <w:pPr>
              <w:pStyle w:val="BodyText"/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1375" w:type="dxa"/>
            <w:shd w:val="clear" w:color="auto" w:fill="auto"/>
          </w:tcPr>
          <w:p w14:paraId="6A97C931" w14:textId="3EBCEC5B" w:rsidR="003D3850" w:rsidRPr="00856847" w:rsidRDefault="003D3850" w:rsidP="001F7F62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70</w:t>
            </w:r>
          </w:p>
        </w:tc>
      </w:tr>
      <w:tr w:rsidR="003D3850" w:rsidRPr="00CD3E2A" w14:paraId="42A0A0B6" w14:textId="77777777" w:rsidTr="003D3850">
        <w:tc>
          <w:tcPr>
            <w:tcW w:w="8090" w:type="dxa"/>
            <w:shd w:val="clear" w:color="auto" w:fill="auto"/>
          </w:tcPr>
          <w:p w14:paraId="2B32E225" w14:textId="052D2C5B" w:rsidR="003D3850" w:rsidRPr="003D3850" w:rsidRDefault="003D3850" w:rsidP="001F7F62">
            <w:pPr>
              <w:pStyle w:val="BodyText"/>
              <w:ind w:left="0"/>
              <w:rPr>
                <w:rFonts w:cs="Arial"/>
                <w:sz w:val="24"/>
                <w:szCs w:val="24"/>
              </w:rPr>
            </w:pPr>
            <w:r w:rsidRPr="003D3850">
              <w:rPr>
                <w:rFonts w:cs="Arial"/>
                <w:sz w:val="24"/>
                <w:szCs w:val="24"/>
              </w:rPr>
              <w:t>Be Prepared for the Decade Ahead. The Nuts and Bolts of Vendor Management Compliance</w:t>
            </w:r>
          </w:p>
        </w:tc>
        <w:tc>
          <w:tcPr>
            <w:tcW w:w="1375" w:type="dxa"/>
            <w:shd w:val="clear" w:color="auto" w:fill="auto"/>
          </w:tcPr>
          <w:p w14:paraId="5A1A6BA6" w14:textId="72862EED" w:rsidR="003D3850" w:rsidRPr="00856847" w:rsidRDefault="003D3850" w:rsidP="001F7F62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Deferred to 2021</w:t>
            </w:r>
          </w:p>
        </w:tc>
      </w:tr>
      <w:tr w:rsidR="003D3850" w:rsidRPr="00CD3E2A" w14:paraId="5D8FC5CD" w14:textId="77777777" w:rsidTr="003D3850">
        <w:tc>
          <w:tcPr>
            <w:tcW w:w="8090" w:type="dxa"/>
            <w:shd w:val="clear" w:color="auto" w:fill="auto"/>
          </w:tcPr>
          <w:p w14:paraId="2742450E" w14:textId="08C3D84A" w:rsidR="003D3850" w:rsidRPr="003D3850" w:rsidRDefault="003D3850" w:rsidP="001F7F62">
            <w:pPr>
              <w:pStyle w:val="BodyText"/>
              <w:ind w:left="0"/>
              <w:rPr>
                <w:rFonts w:cs="Arial"/>
                <w:sz w:val="24"/>
                <w:szCs w:val="24"/>
              </w:rPr>
            </w:pPr>
            <w:r w:rsidRPr="003D3850">
              <w:rPr>
                <w:rFonts w:cs="Arial"/>
                <w:sz w:val="24"/>
                <w:szCs w:val="24"/>
              </w:rPr>
              <w:t>2020 Vision: What’s Your Ethical Obligation to Keep Data Safe?</w:t>
            </w:r>
          </w:p>
        </w:tc>
        <w:tc>
          <w:tcPr>
            <w:tcW w:w="1375" w:type="dxa"/>
            <w:shd w:val="clear" w:color="auto" w:fill="auto"/>
          </w:tcPr>
          <w:p w14:paraId="345FE2E2" w14:textId="77777777" w:rsidR="003D3850" w:rsidRPr="00856847" w:rsidRDefault="003D3850" w:rsidP="001F7F62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Declined</w:t>
            </w:r>
          </w:p>
        </w:tc>
      </w:tr>
      <w:tr w:rsidR="003D3850" w:rsidRPr="00CD3E2A" w14:paraId="4558DC89" w14:textId="77777777" w:rsidTr="003D3850">
        <w:tc>
          <w:tcPr>
            <w:tcW w:w="8090" w:type="dxa"/>
            <w:shd w:val="clear" w:color="auto" w:fill="auto"/>
          </w:tcPr>
          <w:p w14:paraId="6FA4312C" w14:textId="02853F63" w:rsidR="003D3850" w:rsidRPr="003D3850" w:rsidRDefault="003D3850" w:rsidP="001F7F62">
            <w:pPr>
              <w:pStyle w:val="BodyText"/>
              <w:ind w:left="0"/>
              <w:rPr>
                <w:rFonts w:cs="Arial"/>
                <w:sz w:val="24"/>
                <w:szCs w:val="24"/>
              </w:rPr>
            </w:pPr>
            <w:r w:rsidRPr="003D3850">
              <w:rPr>
                <w:rFonts w:cs="Arial"/>
                <w:sz w:val="24"/>
                <w:szCs w:val="24"/>
              </w:rPr>
              <w:t>Data Security and Privacy Are Still Consumer Protection Issues</w:t>
            </w:r>
          </w:p>
        </w:tc>
        <w:tc>
          <w:tcPr>
            <w:tcW w:w="1375" w:type="dxa"/>
            <w:shd w:val="clear" w:color="auto" w:fill="auto"/>
          </w:tcPr>
          <w:p w14:paraId="08FF4DD0" w14:textId="77777777" w:rsidR="003D3850" w:rsidRPr="00856847" w:rsidRDefault="003D3850" w:rsidP="001F7F62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Declined</w:t>
            </w:r>
          </w:p>
        </w:tc>
      </w:tr>
      <w:tr w:rsidR="007C7807" w:rsidRPr="00CD3E2A" w14:paraId="658B34A1" w14:textId="77777777" w:rsidTr="003D3850">
        <w:tc>
          <w:tcPr>
            <w:tcW w:w="9465" w:type="dxa"/>
            <w:gridSpan w:val="2"/>
            <w:shd w:val="clear" w:color="auto" w:fill="B3B3B3"/>
          </w:tcPr>
          <w:p w14:paraId="436A7159" w14:textId="62AA179B" w:rsidR="007C7807" w:rsidRPr="00CD3E2A" w:rsidRDefault="007C7807" w:rsidP="003E7A2C">
            <w:pPr>
              <w:pStyle w:val="BodyText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2019</w:t>
            </w:r>
          </w:p>
        </w:tc>
      </w:tr>
      <w:tr w:rsidR="007C7807" w:rsidRPr="00CD3E2A" w14:paraId="340C4E0A" w14:textId="77777777" w:rsidTr="003D3850">
        <w:tc>
          <w:tcPr>
            <w:tcW w:w="8090" w:type="dxa"/>
            <w:shd w:val="clear" w:color="auto" w:fill="auto"/>
          </w:tcPr>
          <w:p w14:paraId="3E4DAE23" w14:textId="703EDAA2" w:rsidR="007C7807" w:rsidRPr="00856847" w:rsidRDefault="007C7807" w:rsidP="003E7A2C">
            <w:pPr>
              <w:pStyle w:val="BodyText"/>
              <w:ind w:left="0"/>
              <w:rPr>
                <w:rFonts w:cs="Arial"/>
                <w:sz w:val="24"/>
                <w:szCs w:val="24"/>
              </w:rPr>
            </w:pPr>
            <w:bookmarkStart w:id="0" w:name="_Hlk58558200"/>
            <w:r w:rsidRPr="007C7807">
              <w:rPr>
                <w:rFonts w:cs="Arial"/>
                <w:sz w:val="24"/>
                <w:szCs w:val="24"/>
              </w:rPr>
              <w:t>FinTech 2.0, The Next Generation: Successes and Failures in Financial Technology Innovation in the Current Decade</w:t>
            </w:r>
          </w:p>
        </w:tc>
        <w:tc>
          <w:tcPr>
            <w:tcW w:w="1375" w:type="dxa"/>
            <w:shd w:val="clear" w:color="auto" w:fill="auto"/>
          </w:tcPr>
          <w:p w14:paraId="451E3CB9" w14:textId="206A75AD" w:rsidR="007C7807" w:rsidRPr="00856847" w:rsidRDefault="00835971" w:rsidP="007C7807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="00443477">
              <w:rPr>
                <w:rFonts w:cs="Arial"/>
                <w:sz w:val="24"/>
                <w:szCs w:val="24"/>
              </w:rPr>
              <w:t>13</w:t>
            </w:r>
          </w:p>
        </w:tc>
      </w:tr>
      <w:tr w:rsidR="007C7807" w:rsidRPr="00CD3E2A" w14:paraId="7EE558CE" w14:textId="77777777" w:rsidTr="003D3850">
        <w:tc>
          <w:tcPr>
            <w:tcW w:w="8090" w:type="dxa"/>
            <w:shd w:val="clear" w:color="auto" w:fill="auto"/>
          </w:tcPr>
          <w:p w14:paraId="571A9E63" w14:textId="6531A1EC" w:rsidR="007C7807" w:rsidRPr="00856847" w:rsidRDefault="007C7807" w:rsidP="003E7A2C">
            <w:pPr>
              <w:pStyle w:val="BodyText"/>
              <w:ind w:left="0"/>
              <w:rPr>
                <w:rFonts w:cs="Arial"/>
                <w:sz w:val="24"/>
                <w:szCs w:val="24"/>
              </w:rPr>
            </w:pPr>
            <w:r w:rsidRPr="007C7807">
              <w:rPr>
                <w:rFonts w:cs="Arial"/>
                <w:sz w:val="24"/>
                <w:szCs w:val="24"/>
              </w:rPr>
              <w:lastRenderedPageBreak/>
              <w:t>Call Me Maybe? The Financial Services Perspective on the Telephone Consumer Protection Act</w:t>
            </w:r>
          </w:p>
        </w:tc>
        <w:tc>
          <w:tcPr>
            <w:tcW w:w="1375" w:type="dxa"/>
            <w:shd w:val="clear" w:color="auto" w:fill="auto"/>
          </w:tcPr>
          <w:p w14:paraId="333B241E" w14:textId="1554A046" w:rsidR="007C7807" w:rsidRPr="00856847" w:rsidRDefault="00443477" w:rsidP="007C7807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74</w:t>
            </w:r>
          </w:p>
        </w:tc>
      </w:tr>
      <w:tr w:rsidR="007C7807" w:rsidRPr="00CD3E2A" w14:paraId="1C17AD5C" w14:textId="77777777" w:rsidTr="003D3850">
        <w:tc>
          <w:tcPr>
            <w:tcW w:w="8090" w:type="dxa"/>
            <w:shd w:val="clear" w:color="auto" w:fill="auto"/>
          </w:tcPr>
          <w:p w14:paraId="3F8CC2BC" w14:textId="4DCB5F65" w:rsidR="007C7807" w:rsidRPr="00856847" w:rsidRDefault="007C7807" w:rsidP="003E7A2C">
            <w:pPr>
              <w:pStyle w:val="BodyText"/>
              <w:ind w:left="0"/>
              <w:rPr>
                <w:rFonts w:cs="Arial"/>
                <w:sz w:val="24"/>
                <w:szCs w:val="24"/>
              </w:rPr>
            </w:pPr>
            <w:r w:rsidRPr="007C7807">
              <w:rPr>
                <w:rFonts w:cs="Arial"/>
                <w:sz w:val="24"/>
                <w:szCs w:val="24"/>
              </w:rPr>
              <w:t>Cybersecurity Crisis: A Financial Services General Counsel’s Role Before and After Cybersecurity Attack</w:t>
            </w:r>
          </w:p>
        </w:tc>
        <w:tc>
          <w:tcPr>
            <w:tcW w:w="1375" w:type="dxa"/>
            <w:shd w:val="clear" w:color="auto" w:fill="auto"/>
          </w:tcPr>
          <w:p w14:paraId="16176F5B" w14:textId="01E77BEE" w:rsidR="007C7807" w:rsidRPr="00856847" w:rsidRDefault="00443477" w:rsidP="007C7807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162</w:t>
            </w:r>
          </w:p>
        </w:tc>
      </w:tr>
      <w:tr w:rsidR="007C7807" w:rsidRPr="00CD3E2A" w14:paraId="2F358D9E" w14:textId="77777777" w:rsidTr="003D3850">
        <w:tc>
          <w:tcPr>
            <w:tcW w:w="8090" w:type="dxa"/>
            <w:shd w:val="clear" w:color="auto" w:fill="auto"/>
          </w:tcPr>
          <w:p w14:paraId="536257D8" w14:textId="0C3E6CCF" w:rsidR="007C7807" w:rsidRPr="00856847" w:rsidRDefault="007C7807" w:rsidP="003E7A2C">
            <w:pPr>
              <w:pStyle w:val="BodyText"/>
              <w:ind w:left="0"/>
              <w:rPr>
                <w:rFonts w:cs="Arial"/>
                <w:sz w:val="24"/>
                <w:szCs w:val="24"/>
              </w:rPr>
            </w:pPr>
            <w:r w:rsidRPr="007C7807">
              <w:rPr>
                <w:rFonts w:cs="Arial"/>
                <w:sz w:val="24"/>
                <w:szCs w:val="24"/>
              </w:rPr>
              <w:t>Regulatory NOW: Securities Regulation in 2019</w:t>
            </w:r>
          </w:p>
        </w:tc>
        <w:tc>
          <w:tcPr>
            <w:tcW w:w="1375" w:type="dxa"/>
            <w:shd w:val="clear" w:color="auto" w:fill="auto"/>
          </w:tcPr>
          <w:p w14:paraId="7ED0E6DC" w14:textId="282D6F2C" w:rsidR="007C7807" w:rsidRPr="00856847" w:rsidRDefault="007C7807" w:rsidP="007C7807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Declined</w:t>
            </w:r>
          </w:p>
        </w:tc>
      </w:tr>
      <w:tr w:rsidR="007C7807" w:rsidRPr="00CD3E2A" w14:paraId="57779864" w14:textId="77777777" w:rsidTr="003D3850">
        <w:tc>
          <w:tcPr>
            <w:tcW w:w="8090" w:type="dxa"/>
            <w:shd w:val="clear" w:color="auto" w:fill="auto"/>
          </w:tcPr>
          <w:p w14:paraId="3486BE71" w14:textId="6EE58370" w:rsidR="007C7807" w:rsidRPr="00856847" w:rsidRDefault="007C7807" w:rsidP="003E7A2C">
            <w:pPr>
              <w:pStyle w:val="BodyText"/>
              <w:ind w:left="0"/>
              <w:rPr>
                <w:rFonts w:cs="Arial"/>
                <w:sz w:val="24"/>
                <w:szCs w:val="24"/>
              </w:rPr>
            </w:pPr>
            <w:r w:rsidRPr="007C7807">
              <w:rPr>
                <w:rFonts w:cs="Arial"/>
                <w:sz w:val="24"/>
                <w:szCs w:val="24"/>
              </w:rPr>
              <w:t>Unlimited Regulation, Limited Resources: Prioritizing for Financial Services Attorneys</w:t>
            </w:r>
          </w:p>
        </w:tc>
        <w:tc>
          <w:tcPr>
            <w:tcW w:w="1375" w:type="dxa"/>
            <w:shd w:val="clear" w:color="auto" w:fill="auto"/>
          </w:tcPr>
          <w:p w14:paraId="3044B8F0" w14:textId="31F7EF89" w:rsidR="007C7807" w:rsidRPr="00856847" w:rsidRDefault="007C7807" w:rsidP="007C7807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Declined</w:t>
            </w:r>
          </w:p>
        </w:tc>
      </w:tr>
      <w:bookmarkEnd w:id="0"/>
      <w:tr w:rsidR="007C7807" w:rsidRPr="00CD3E2A" w14:paraId="183848F5" w14:textId="77777777" w:rsidTr="003D3850">
        <w:tc>
          <w:tcPr>
            <w:tcW w:w="9465" w:type="dxa"/>
            <w:gridSpan w:val="2"/>
            <w:shd w:val="clear" w:color="auto" w:fill="B3B3B3"/>
          </w:tcPr>
          <w:p w14:paraId="0B24A771" w14:textId="41AD21CE" w:rsidR="007C7807" w:rsidRPr="00CD3E2A" w:rsidRDefault="007C7807" w:rsidP="00A77930">
            <w:pPr>
              <w:pStyle w:val="BodyText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2018 </w:t>
            </w:r>
          </w:p>
        </w:tc>
      </w:tr>
      <w:tr w:rsidR="00B478A1" w:rsidRPr="00CD3E2A" w14:paraId="3CEE1ADE" w14:textId="77777777" w:rsidTr="003D3850">
        <w:tc>
          <w:tcPr>
            <w:tcW w:w="8090" w:type="dxa"/>
            <w:shd w:val="clear" w:color="auto" w:fill="auto"/>
          </w:tcPr>
          <w:p w14:paraId="4253AD9B" w14:textId="381F8358" w:rsidR="00B478A1" w:rsidRPr="00856847" w:rsidRDefault="00856847" w:rsidP="00856847">
            <w:pPr>
              <w:pStyle w:val="BodyText"/>
              <w:ind w:left="0"/>
              <w:rPr>
                <w:rFonts w:cs="Arial"/>
                <w:sz w:val="24"/>
                <w:szCs w:val="24"/>
              </w:rPr>
            </w:pPr>
            <w:r w:rsidRPr="00856847">
              <w:rPr>
                <w:rFonts w:cs="Arial"/>
                <w:sz w:val="24"/>
                <w:szCs w:val="24"/>
              </w:rPr>
              <w:t>Beyond Bitcoin: Regulatory Developments in Digital Currencies, Initial Coin Offerings and Tokens</w:t>
            </w:r>
          </w:p>
        </w:tc>
        <w:tc>
          <w:tcPr>
            <w:tcW w:w="1375" w:type="dxa"/>
            <w:shd w:val="clear" w:color="auto" w:fill="auto"/>
          </w:tcPr>
          <w:p w14:paraId="1F37DB8B" w14:textId="515C484D" w:rsidR="00B478A1" w:rsidRPr="00856847" w:rsidRDefault="00120E8D" w:rsidP="007C7807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149</w:t>
            </w:r>
          </w:p>
        </w:tc>
      </w:tr>
      <w:tr w:rsidR="00B478A1" w:rsidRPr="00CD3E2A" w14:paraId="4F818102" w14:textId="77777777" w:rsidTr="003D3850">
        <w:tc>
          <w:tcPr>
            <w:tcW w:w="8090" w:type="dxa"/>
            <w:shd w:val="clear" w:color="auto" w:fill="auto"/>
          </w:tcPr>
          <w:p w14:paraId="15899968" w14:textId="0000C202" w:rsidR="00B478A1" w:rsidRPr="00856847" w:rsidRDefault="00856847" w:rsidP="00856847">
            <w:pPr>
              <w:pStyle w:val="BodyText"/>
              <w:ind w:left="0"/>
              <w:rPr>
                <w:rFonts w:cs="Arial"/>
                <w:sz w:val="24"/>
                <w:szCs w:val="24"/>
              </w:rPr>
            </w:pPr>
            <w:r w:rsidRPr="00856847">
              <w:rPr>
                <w:rFonts w:cs="Arial"/>
                <w:sz w:val="24"/>
                <w:szCs w:val="24"/>
              </w:rPr>
              <w:t>Financial Services: New Technologies and New Opportunities (Beyond Blockchain)</w:t>
            </w:r>
          </w:p>
        </w:tc>
        <w:tc>
          <w:tcPr>
            <w:tcW w:w="1375" w:type="dxa"/>
            <w:shd w:val="clear" w:color="auto" w:fill="auto"/>
          </w:tcPr>
          <w:p w14:paraId="5ACEEDB1" w14:textId="0014A90F" w:rsidR="00B478A1" w:rsidRPr="00856847" w:rsidRDefault="00120E8D" w:rsidP="007C7807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="00970C40">
              <w:rPr>
                <w:rFonts w:cs="Arial"/>
                <w:sz w:val="24"/>
                <w:szCs w:val="24"/>
              </w:rPr>
              <w:t>61</w:t>
            </w:r>
          </w:p>
        </w:tc>
      </w:tr>
      <w:tr w:rsidR="00B478A1" w:rsidRPr="00CD3E2A" w14:paraId="6D519E97" w14:textId="77777777" w:rsidTr="003D3850">
        <w:tc>
          <w:tcPr>
            <w:tcW w:w="8090" w:type="dxa"/>
            <w:shd w:val="clear" w:color="auto" w:fill="auto"/>
          </w:tcPr>
          <w:p w14:paraId="363EFE2C" w14:textId="129BD9D7" w:rsidR="00B478A1" w:rsidRPr="00856847" w:rsidRDefault="00856847" w:rsidP="00856847">
            <w:pPr>
              <w:pStyle w:val="BodyText"/>
              <w:ind w:left="0"/>
              <w:rPr>
                <w:rFonts w:cs="Arial"/>
                <w:sz w:val="24"/>
                <w:szCs w:val="24"/>
              </w:rPr>
            </w:pPr>
            <w:r w:rsidRPr="00856847">
              <w:rPr>
                <w:rFonts w:cs="Arial"/>
                <w:sz w:val="24"/>
                <w:szCs w:val="24"/>
              </w:rPr>
              <w:t>Do’s and Don’ts for Social Media in the Financial Services Industry</w:t>
            </w:r>
          </w:p>
        </w:tc>
        <w:tc>
          <w:tcPr>
            <w:tcW w:w="1375" w:type="dxa"/>
            <w:shd w:val="clear" w:color="auto" w:fill="auto"/>
          </w:tcPr>
          <w:p w14:paraId="29A9ACA9" w14:textId="065C0D72" w:rsidR="00B478A1" w:rsidRPr="00856847" w:rsidRDefault="00120E8D" w:rsidP="007C7807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="00970C40">
              <w:rPr>
                <w:rFonts w:cs="Arial"/>
                <w:sz w:val="24"/>
                <w:szCs w:val="24"/>
              </w:rPr>
              <w:t>48</w:t>
            </w:r>
          </w:p>
        </w:tc>
      </w:tr>
      <w:tr w:rsidR="00B478A1" w:rsidRPr="00CD3E2A" w14:paraId="3D1BED0E" w14:textId="77777777" w:rsidTr="003D3850">
        <w:tc>
          <w:tcPr>
            <w:tcW w:w="8090" w:type="dxa"/>
            <w:shd w:val="clear" w:color="auto" w:fill="auto"/>
          </w:tcPr>
          <w:p w14:paraId="6F3E06D5" w14:textId="286A0B52" w:rsidR="00B478A1" w:rsidRPr="00856847" w:rsidRDefault="00856847" w:rsidP="00856847">
            <w:pPr>
              <w:pStyle w:val="BodyText"/>
              <w:ind w:left="0"/>
              <w:rPr>
                <w:rFonts w:cs="Arial"/>
                <w:sz w:val="24"/>
                <w:szCs w:val="24"/>
              </w:rPr>
            </w:pPr>
            <w:r w:rsidRPr="00856847">
              <w:rPr>
                <w:rFonts w:cs="Arial"/>
                <w:sz w:val="24"/>
                <w:szCs w:val="24"/>
              </w:rPr>
              <w:t xml:space="preserve">Cybersecurity </w:t>
            </w:r>
            <w:proofErr w:type="gramStart"/>
            <w:r w:rsidRPr="00856847">
              <w:rPr>
                <w:rFonts w:cs="Arial"/>
                <w:sz w:val="24"/>
                <w:szCs w:val="24"/>
              </w:rPr>
              <w:t>In</w:t>
            </w:r>
            <w:proofErr w:type="gramEnd"/>
            <w:r w:rsidRPr="00856847">
              <w:rPr>
                <w:rFonts w:cs="Arial"/>
                <w:sz w:val="24"/>
                <w:szCs w:val="24"/>
              </w:rPr>
              <w:t xml:space="preserve"> Crisis: General Counsel’s Role Before and After a Cybersecurity Attack</w:t>
            </w:r>
          </w:p>
        </w:tc>
        <w:tc>
          <w:tcPr>
            <w:tcW w:w="1375" w:type="dxa"/>
            <w:shd w:val="clear" w:color="auto" w:fill="auto"/>
          </w:tcPr>
          <w:p w14:paraId="3998FC82" w14:textId="3C6C7DED" w:rsidR="00B478A1" w:rsidRPr="00856847" w:rsidRDefault="00856847" w:rsidP="007C7807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856847">
              <w:rPr>
                <w:rFonts w:cs="Arial"/>
                <w:sz w:val="24"/>
                <w:szCs w:val="24"/>
              </w:rPr>
              <w:t>Declined</w:t>
            </w:r>
          </w:p>
        </w:tc>
      </w:tr>
      <w:tr w:rsidR="00B478A1" w:rsidRPr="00CD3E2A" w14:paraId="2C430974" w14:textId="77777777" w:rsidTr="003D3850">
        <w:tc>
          <w:tcPr>
            <w:tcW w:w="8090" w:type="dxa"/>
            <w:shd w:val="clear" w:color="auto" w:fill="auto"/>
          </w:tcPr>
          <w:p w14:paraId="73620627" w14:textId="3C767B6E" w:rsidR="00B478A1" w:rsidRPr="00856847" w:rsidRDefault="00856847" w:rsidP="00856847">
            <w:pPr>
              <w:pStyle w:val="BodyText"/>
              <w:ind w:left="0"/>
              <w:rPr>
                <w:rFonts w:cs="Arial"/>
                <w:sz w:val="24"/>
                <w:szCs w:val="24"/>
              </w:rPr>
            </w:pPr>
            <w:r w:rsidRPr="00856847">
              <w:rPr>
                <w:rFonts w:cs="Arial"/>
                <w:sz w:val="24"/>
                <w:szCs w:val="24"/>
              </w:rPr>
              <w:t>What Happens in Vegas Does Not Always Stay in Vegas: Why Your Firm Needs to Know about Data Protection in All Jurisdictions It Does Business</w:t>
            </w:r>
          </w:p>
        </w:tc>
        <w:tc>
          <w:tcPr>
            <w:tcW w:w="1375" w:type="dxa"/>
            <w:shd w:val="clear" w:color="auto" w:fill="auto"/>
          </w:tcPr>
          <w:p w14:paraId="1292FEBB" w14:textId="2927BFF8" w:rsidR="00B478A1" w:rsidRPr="00856847" w:rsidRDefault="00856847" w:rsidP="007C7807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856847">
              <w:rPr>
                <w:rFonts w:cs="Arial"/>
                <w:sz w:val="24"/>
                <w:szCs w:val="24"/>
              </w:rPr>
              <w:t>Declined</w:t>
            </w:r>
          </w:p>
        </w:tc>
      </w:tr>
    </w:tbl>
    <w:p w14:paraId="2954983D" w14:textId="77777777" w:rsidR="006B0464" w:rsidRDefault="006B0464" w:rsidP="006B0464">
      <w:pPr>
        <w:pStyle w:val="BodyText"/>
        <w:ind w:left="0"/>
        <w:rPr>
          <w:sz w:val="24"/>
          <w:szCs w:val="24"/>
        </w:rPr>
      </w:pPr>
    </w:p>
    <w:p w14:paraId="05CC9F72" w14:textId="0F00F2E0" w:rsidR="00923B12" w:rsidRDefault="00923B12" w:rsidP="00923B12">
      <w:pPr>
        <w:pStyle w:val="Heading1"/>
        <w:ind w:left="0"/>
        <w:rPr>
          <w:caps/>
          <w:sz w:val="24"/>
          <w:szCs w:val="24"/>
        </w:rPr>
      </w:pPr>
      <w:r w:rsidRPr="00023734">
        <w:rPr>
          <w:caps/>
          <w:sz w:val="24"/>
          <w:szCs w:val="24"/>
        </w:rPr>
        <w:t>20</w:t>
      </w:r>
      <w:r w:rsidR="00443477">
        <w:rPr>
          <w:caps/>
          <w:sz w:val="24"/>
          <w:szCs w:val="24"/>
        </w:rPr>
        <w:t>19</w:t>
      </w:r>
      <w:r w:rsidRPr="00023734">
        <w:rPr>
          <w:caps/>
          <w:sz w:val="24"/>
          <w:szCs w:val="24"/>
        </w:rPr>
        <w:t>-20</w:t>
      </w:r>
      <w:r w:rsidR="00443477">
        <w:rPr>
          <w:caps/>
          <w:sz w:val="24"/>
          <w:szCs w:val="24"/>
        </w:rPr>
        <w:t>20</w:t>
      </w:r>
      <w:r w:rsidRPr="00023734">
        <w:rPr>
          <w:caps/>
          <w:sz w:val="24"/>
          <w:szCs w:val="24"/>
        </w:rPr>
        <w:t xml:space="preserve"> Financial Services </w:t>
      </w:r>
      <w:r w:rsidR="007776CA">
        <w:rPr>
          <w:caps/>
          <w:sz w:val="24"/>
          <w:szCs w:val="24"/>
        </w:rPr>
        <w:t>Network</w:t>
      </w:r>
      <w:r>
        <w:rPr>
          <w:caps/>
          <w:sz w:val="24"/>
          <w:szCs w:val="24"/>
        </w:rPr>
        <w:t xml:space="preserve"> </w:t>
      </w:r>
      <w:r w:rsidR="0077328A">
        <w:rPr>
          <w:caps/>
          <w:sz w:val="24"/>
          <w:szCs w:val="24"/>
        </w:rPr>
        <w:t>member survey suggested topics</w:t>
      </w:r>
    </w:p>
    <w:p w14:paraId="0F282961" w14:textId="77777777" w:rsidR="0077328A" w:rsidRPr="00333081" w:rsidRDefault="0077328A" w:rsidP="0077328A">
      <w:pPr>
        <w:pStyle w:val="BodyText"/>
        <w:ind w:left="0"/>
        <w:rPr>
          <w:sz w:val="24"/>
          <w:szCs w:val="24"/>
          <w:u w:val="single"/>
        </w:rPr>
      </w:pPr>
      <w:r w:rsidRPr="00333081">
        <w:rPr>
          <w:sz w:val="24"/>
          <w:szCs w:val="24"/>
          <w:u w:val="single"/>
        </w:rPr>
        <w:t>Most popular topics, in decreasing order:</w:t>
      </w:r>
    </w:p>
    <w:p w14:paraId="62BB5B83" w14:textId="1A878E17" w:rsidR="00443477" w:rsidRPr="00443477" w:rsidRDefault="00443477" w:rsidP="00FE07CD">
      <w:pPr>
        <w:pStyle w:val="BodyText"/>
        <w:numPr>
          <w:ilvl w:val="0"/>
          <w:numId w:val="15"/>
        </w:numPr>
        <w:spacing w:after="0" w:line="240" w:lineRule="auto"/>
        <w:rPr>
          <w:rFonts w:cs="Arial"/>
          <w:bCs/>
          <w:sz w:val="24"/>
          <w:szCs w:val="24"/>
        </w:rPr>
      </w:pPr>
      <w:r w:rsidRPr="00443477">
        <w:rPr>
          <w:sz w:val="24"/>
          <w:szCs w:val="24"/>
        </w:rPr>
        <w:t>CCPA and GDPR Update</w:t>
      </w:r>
    </w:p>
    <w:p w14:paraId="79332DF8" w14:textId="77777777" w:rsidR="00443477" w:rsidRPr="00443477" w:rsidRDefault="00443477" w:rsidP="00443477">
      <w:pPr>
        <w:pStyle w:val="BodyText"/>
        <w:numPr>
          <w:ilvl w:val="0"/>
          <w:numId w:val="15"/>
        </w:numPr>
        <w:spacing w:after="0" w:line="240" w:lineRule="auto"/>
        <w:rPr>
          <w:rFonts w:cs="Arial"/>
          <w:bCs/>
          <w:sz w:val="24"/>
          <w:szCs w:val="24"/>
        </w:rPr>
      </w:pPr>
      <w:r w:rsidRPr="00443477">
        <w:rPr>
          <w:rFonts w:cs="Arial"/>
          <w:bCs/>
          <w:sz w:val="24"/>
          <w:szCs w:val="24"/>
        </w:rPr>
        <w:t>The growing use of Digital Technology in the Financial Services Sector</w:t>
      </w:r>
    </w:p>
    <w:p w14:paraId="093838CD" w14:textId="5FC88CE7" w:rsidR="00443477" w:rsidRPr="00443477" w:rsidRDefault="00443477" w:rsidP="00FE07CD">
      <w:pPr>
        <w:pStyle w:val="BodyText"/>
        <w:numPr>
          <w:ilvl w:val="0"/>
          <w:numId w:val="15"/>
        </w:numPr>
        <w:spacing w:after="0" w:line="240" w:lineRule="auto"/>
        <w:rPr>
          <w:rFonts w:cs="Arial"/>
          <w:bCs/>
          <w:sz w:val="24"/>
          <w:szCs w:val="24"/>
        </w:rPr>
      </w:pPr>
      <w:r w:rsidRPr="00443477">
        <w:rPr>
          <w:sz w:val="24"/>
          <w:szCs w:val="24"/>
        </w:rPr>
        <w:t>Developments of state regulation over Fintech companies</w:t>
      </w:r>
    </w:p>
    <w:p w14:paraId="3F5705FA" w14:textId="77777777" w:rsidR="00443477" w:rsidRPr="00443477" w:rsidRDefault="00443477" w:rsidP="00443477">
      <w:pPr>
        <w:pStyle w:val="BodyText"/>
        <w:numPr>
          <w:ilvl w:val="0"/>
          <w:numId w:val="15"/>
        </w:numPr>
        <w:spacing w:after="0" w:line="240" w:lineRule="auto"/>
        <w:rPr>
          <w:rFonts w:cs="Arial"/>
          <w:bCs/>
          <w:sz w:val="24"/>
          <w:szCs w:val="24"/>
        </w:rPr>
      </w:pPr>
      <w:r w:rsidRPr="00443477">
        <w:rPr>
          <w:rFonts w:cs="Arial"/>
          <w:bCs/>
          <w:sz w:val="24"/>
          <w:szCs w:val="24"/>
        </w:rPr>
        <w:t>Contract Negotiations and Clauses</w:t>
      </w:r>
    </w:p>
    <w:p w14:paraId="2BD256C1" w14:textId="049EB3A8" w:rsidR="00443477" w:rsidRPr="00443477" w:rsidRDefault="00443477" w:rsidP="00FE07CD">
      <w:pPr>
        <w:pStyle w:val="BodyText"/>
        <w:numPr>
          <w:ilvl w:val="0"/>
          <w:numId w:val="15"/>
        </w:numPr>
        <w:spacing w:after="0" w:line="240" w:lineRule="auto"/>
        <w:rPr>
          <w:rFonts w:cs="Arial"/>
          <w:bCs/>
          <w:sz w:val="24"/>
          <w:szCs w:val="24"/>
        </w:rPr>
      </w:pPr>
      <w:r w:rsidRPr="00443477">
        <w:rPr>
          <w:sz w:val="24"/>
          <w:szCs w:val="24"/>
        </w:rPr>
        <w:t>Career Development - Developing Management Skills of the General Counsel</w:t>
      </w:r>
    </w:p>
    <w:p w14:paraId="575EE914" w14:textId="78D64C21" w:rsidR="00443477" w:rsidRPr="00443477" w:rsidRDefault="00443477" w:rsidP="00FE07CD">
      <w:pPr>
        <w:pStyle w:val="BodyText"/>
        <w:numPr>
          <w:ilvl w:val="0"/>
          <w:numId w:val="15"/>
        </w:numPr>
        <w:spacing w:after="0" w:line="240" w:lineRule="auto"/>
        <w:rPr>
          <w:rFonts w:cs="Arial"/>
          <w:bCs/>
          <w:sz w:val="24"/>
          <w:szCs w:val="24"/>
        </w:rPr>
      </w:pPr>
      <w:r w:rsidRPr="00443477">
        <w:rPr>
          <w:sz w:val="24"/>
          <w:szCs w:val="24"/>
        </w:rPr>
        <w:t>CFPB Regulatory Update</w:t>
      </w:r>
    </w:p>
    <w:p w14:paraId="50338666" w14:textId="45427694" w:rsidR="00443477" w:rsidRPr="00443477" w:rsidRDefault="00443477" w:rsidP="00FE07CD">
      <w:pPr>
        <w:pStyle w:val="BodyText"/>
        <w:numPr>
          <w:ilvl w:val="0"/>
          <w:numId w:val="15"/>
        </w:numPr>
        <w:spacing w:after="0" w:line="240" w:lineRule="auto"/>
        <w:rPr>
          <w:rFonts w:cs="Arial"/>
          <w:bCs/>
          <w:sz w:val="24"/>
          <w:szCs w:val="24"/>
        </w:rPr>
      </w:pPr>
      <w:r w:rsidRPr="00443477">
        <w:rPr>
          <w:sz w:val="24"/>
          <w:szCs w:val="24"/>
        </w:rPr>
        <w:t>Serving on a Board of Directors - Where to Start and How to Grow to Your Skills</w:t>
      </w:r>
    </w:p>
    <w:p w14:paraId="40A3B4B5" w14:textId="77777777" w:rsidR="00A60D8D" w:rsidRPr="00A60D8D" w:rsidRDefault="00A60D8D" w:rsidP="00A60D8D">
      <w:pPr>
        <w:pStyle w:val="BodyText"/>
        <w:spacing w:after="0" w:line="240" w:lineRule="auto"/>
        <w:ind w:left="720"/>
        <w:rPr>
          <w:rFonts w:cs="Arial"/>
          <w:sz w:val="24"/>
          <w:szCs w:val="24"/>
        </w:rPr>
      </w:pPr>
    </w:p>
    <w:p w14:paraId="0D8B2863" w14:textId="4ED4EFDB" w:rsidR="00A60D8D" w:rsidRPr="00333081" w:rsidRDefault="00A60D8D" w:rsidP="00A60D8D">
      <w:pPr>
        <w:pStyle w:val="BodyText"/>
        <w:ind w:left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Additional suggestions</w:t>
      </w:r>
      <w:r w:rsidRPr="00333081">
        <w:rPr>
          <w:sz w:val="24"/>
          <w:szCs w:val="24"/>
          <w:u w:val="single"/>
        </w:rPr>
        <w:t>:</w:t>
      </w:r>
    </w:p>
    <w:tbl>
      <w:tblPr>
        <w:tblW w:w="96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65"/>
      </w:tblGrid>
      <w:tr w:rsidR="0005029C" w14:paraId="43B10407" w14:textId="77777777" w:rsidTr="0005029C">
        <w:trPr>
          <w:trHeight w:val="252"/>
        </w:trPr>
        <w:tc>
          <w:tcPr>
            <w:tcW w:w="9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10581" w14:textId="3B2BECC8" w:rsidR="00443477" w:rsidRPr="00443477" w:rsidRDefault="00443477" w:rsidP="00A60D8D">
            <w:pPr>
              <w:pStyle w:val="ListParagraph"/>
              <w:numPr>
                <w:ilvl w:val="0"/>
                <w:numId w:val="16"/>
              </w:numPr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 w:rsidRPr="00443477">
              <w:rPr>
                <w:rFonts w:cs="Arial"/>
                <w:color w:val="000000"/>
                <w:sz w:val="24"/>
                <w:szCs w:val="24"/>
              </w:rPr>
              <w:t>Callblocking</w:t>
            </w:r>
            <w:proofErr w:type="spellEnd"/>
            <w:r w:rsidRPr="00443477">
              <w:rPr>
                <w:rFonts w:cs="Arial"/>
                <w:color w:val="000000"/>
                <w:sz w:val="24"/>
                <w:szCs w:val="24"/>
              </w:rPr>
              <w:t xml:space="preserve"> technology</w:t>
            </w:r>
          </w:p>
          <w:p w14:paraId="1F279A7C" w14:textId="40E006C0" w:rsidR="00443477" w:rsidRPr="00443477" w:rsidRDefault="00443477" w:rsidP="00A60D8D">
            <w:pPr>
              <w:pStyle w:val="ListParagraph"/>
              <w:numPr>
                <w:ilvl w:val="0"/>
                <w:numId w:val="16"/>
              </w:numPr>
              <w:rPr>
                <w:rFonts w:cs="Arial"/>
                <w:color w:val="000000"/>
                <w:sz w:val="24"/>
                <w:szCs w:val="24"/>
              </w:rPr>
            </w:pPr>
            <w:r w:rsidRPr="00443477">
              <w:rPr>
                <w:sz w:val="24"/>
                <w:szCs w:val="24"/>
              </w:rPr>
              <w:lastRenderedPageBreak/>
              <w:t>Still "Madden"-</w:t>
            </w:r>
            <w:proofErr w:type="spellStart"/>
            <w:r w:rsidRPr="00443477">
              <w:rPr>
                <w:sz w:val="24"/>
                <w:szCs w:val="24"/>
              </w:rPr>
              <w:t>ing</w:t>
            </w:r>
            <w:proofErr w:type="spellEnd"/>
            <w:r w:rsidRPr="00443477">
              <w:rPr>
                <w:sz w:val="24"/>
                <w:szCs w:val="24"/>
              </w:rPr>
              <w:t>? The Judicial uncertainty of the Valid-When-Made doctrine in the wake of the "Madden v. Midland Funding" ruling and can Congress or the Executive Branch save the longstanding legal standard?</w:t>
            </w:r>
          </w:p>
          <w:p w14:paraId="6DF46C2E" w14:textId="15EE8B69" w:rsidR="00443477" w:rsidRPr="00443477" w:rsidRDefault="00443477" w:rsidP="00A60D8D">
            <w:pPr>
              <w:pStyle w:val="ListParagraph"/>
              <w:numPr>
                <w:ilvl w:val="0"/>
                <w:numId w:val="16"/>
              </w:numPr>
              <w:rPr>
                <w:rFonts w:cs="Arial"/>
                <w:color w:val="000000"/>
                <w:sz w:val="24"/>
                <w:szCs w:val="24"/>
              </w:rPr>
            </w:pPr>
            <w:r w:rsidRPr="00443477">
              <w:rPr>
                <w:sz w:val="24"/>
                <w:szCs w:val="24"/>
              </w:rPr>
              <w:t>I'd love to see what AI can do for the in-house legal department -- something concrete.</w:t>
            </w:r>
          </w:p>
          <w:p w14:paraId="7344B915" w14:textId="44C7EF60" w:rsidR="00443477" w:rsidRPr="00443477" w:rsidRDefault="00443477" w:rsidP="00443477">
            <w:pPr>
              <w:pStyle w:val="ListParagraph"/>
              <w:numPr>
                <w:ilvl w:val="0"/>
                <w:numId w:val="16"/>
              </w:numPr>
              <w:rPr>
                <w:rFonts w:cs="Arial"/>
                <w:color w:val="000000"/>
                <w:sz w:val="24"/>
                <w:szCs w:val="24"/>
              </w:rPr>
            </w:pPr>
            <w:r w:rsidRPr="00443477">
              <w:rPr>
                <w:sz w:val="24"/>
                <w:szCs w:val="24"/>
              </w:rPr>
              <w:t>I would like to get an update on fintech charter developments (where are we at with it? has anyone applied? been approved? etc.).</w:t>
            </w:r>
          </w:p>
          <w:p w14:paraId="45372179" w14:textId="2C8F6879" w:rsidR="00443477" w:rsidRPr="00443477" w:rsidRDefault="00443477" w:rsidP="00443477">
            <w:pPr>
              <w:pStyle w:val="ListParagraph"/>
              <w:numPr>
                <w:ilvl w:val="0"/>
                <w:numId w:val="16"/>
              </w:numPr>
              <w:rPr>
                <w:rFonts w:cs="Arial"/>
                <w:color w:val="000000"/>
                <w:sz w:val="24"/>
                <w:szCs w:val="24"/>
              </w:rPr>
            </w:pPr>
            <w:r w:rsidRPr="00443477">
              <w:rPr>
                <w:sz w:val="24"/>
                <w:szCs w:val="24"/>
              </w:rPr>
              <w:t>Faster payments</w:t>
            </w:r>
          </w:p>
          <w:p w14:paraId="14A7AA79" w14:textId="31EED6C1" w:rsidR="00443477" w:rsidRPr="00443477" w:rsidRDefault="00443477" w:rsidP="00443477">
            <w:pPr>
              <w:pStyle w:val="ListParagraph"/>
              <w:numPr>
                <w:ilvl w:val="0"/>
                <w:numId w:val="16"/>
              </w:numPr>
              <w:rPr>
                <w:rFonts w:cs="Arial"/>
                <w:color w:val="000000"/>
                <w:sz w:val="24"/>
                <w:szCs w:val="24"/>
              </w:rPr>
            </w:pPr>
            <w:r w:rsidRPr="00443477">
              <w:rPr>
                <w:sz w:val="24"/>
                <w:szCs w:val="24"/>
              </w:rPr>
              <w:t>Cannabis</w:t>
            </w:r>
          </w:p>
          <w:p w14:paraId="32B1665B" w14:textId="07087BCD" w:rsidR="00443477" w:rsidRPr="00443477" w:rsidRDefault="00443477" w:rsidP="00443477">
            <w:pPr>
              <w:pStyle w:val="ListParagraph"/>
              <w:numPr>
                <w:ilvl w:val="0"/>
                <w:numId w:val="16"/>
              </w:numPr>
              <w:rPr>
                <w:rFonts w:cs="Arial"/>
                <w:color w:val="000000"/>
                <w:sz w:val="24"/>
                <w:szCs w:val="24"/>
              </w:rPr>
            </w:pPr>
            <w:r w:rsidRPr="00443477">
              <w:rPr>
                <w:sz w:val="24"/>
                <w:szCs w:val="24"/>
              </w:rPr>
              <w:t>General updates on the market and thoughts on the forecast for the next several months.</w:t>
            </w:r>
          </w:p>
          <w:p w14:paraId="79F19368" w14:textId="5E9F1A61" w:rsidR="00EB77A6" w:rsidRPr="00A60D8D" w:rsidRDefault="00EB77A6" w:rsidP="00443477">
            <w:pPr>
              <w:pStyle w:val="ListParagraph"/>
              <w:rPr>
                <w:rFonts w:cs="Arial"/>
                <w:color w:val="000000"/>
                <w:sz w:val="24"/>
                <w:szCs w:val="24"/>
              </w:rPr>
            </w:pPr>
          </w:p>
        </w:tc>
      </w:tr>
    </w:tbl>
    <w:p w14:paraId="43DCED5F" w14:textId="77777777" w:rsidR="00A60D8D" w:rsidRPr="00FE07CD" w:rsidRDefault="00A60D8D" w:rsidP="00A60D8D">
      <w:pPr>
        <w:pStyle w:val="BodyText"/>
        <w:spacing w:after="0" w:line="240" w:lineRule="auto"/>
        <w:rPr>
          <w:rFonts w:cs="Arial"/>
          <w:sz w:val="24"/>
          <w:szCs w:val="24"/>
        </w:rPr>
      </w:pPr>
    </w:p>
    <w:p w14:paraId="756EB319" w14:textId="77777777" w:rsidR="00A77930" w:rsidRDefault="00A77930" w:rsidP="00D7205D">
      <w:pPr>
        <w:pStyle w:val="Heading1"/>
        <w:ind w:left="0"/>
        <w:rPr>
          <w:rFonts w:ascii="Arial" w:hAnsi="Arial"/>
          <w:spacing w:val="-5"/>
          <w:kern w:val="0"/>
          <w:sz w:val="24"/>
          <w:szCs w:val="24"/>
        </w:rPr>
      </w:pPr>
    </w:p>
    <w:p w14:paraId="03D055D2" w14:textId="266E5B82" w:rsidR="00402105" w:rsidRPr="00D216A4" w:rsidRDefault="00402105" w:rsidP="00D7205D">
      <w:pPr>
        <w:pStyle w:val="Heading1"/>
        <w:ind w:left="0"/>
        <w:rPr>
          <w:caps/>
          <w:sz w:val="24"/>
          <w:szCs w:val="24"/>
        </w:rPr>
      </w:pPr>
      <w:r w:rsidRPr="00023734">
        <w:rPr>
          <w:caps/>
          <w:sz w:val="24"/>
          <w:szCs w:val="24"/>
        </w:rPr>
        <w:t>201</w:t>
      </w:r>
      <w:r w:rsidR="00443477">
        <w:rPr>
          <w:caps/>
          <w:sz w:val="24"/>
          <w:szCs w:val="24"/>
        </w:rPr>
        <w:t>8</w:t>
      </w:r>
      <w:r w:rsidRPr="00023734">
        <w:rPr>
          <w:caps/>
          <w:sz w:val="24"/>
          <w:szCs w:val="24"/>
        </w:rPr>
        <w:t>-20</w:t>
      </w:r>
      <w:r w:rsidR="00443477">
        <w:rPr>
          <w:caps/>
          <w:sz w:val="24"/>
          <w:szCs w:val="24"/>
        </w:rPr>
        <w:t>20</w:t>
      </w:r>
      <w:r w:rsidRPr="00023734">
        <w:rPr>
          <w:caps/>
          <w:sz w:val="24"/>
          <w:szCs w:val="24"/>
        </w:rPr>
        <w:t xml:space="preserve"> </w:t>
      </w:r>
      <w:r w:rsidR="0067416D" w:rsidRPr="00023734">
        <w:rPr>
          <w:caps/>
          <w:sz w:val="24"/>
          <w:szCs w:val="24"/>
        </w:rPr>
        <w:t>F</w:t>
      </w:r>
      <w:r w:rsidR="00CD3E2A">
        <w:rPr>
          <w:caps/>
          <w:sz w:val="24"/>
          <w:szCs w:val="24"/>
        </w:rPr>
        <w:t xml:space="preserve">inancial </w:t>
      </w:r>
      <w:r w:rsidR="0067416D" w:rsidRPr="00023734">
        <w:rPr>
          <w:caps/>
          <w:sz w:val="24"/>
          <w:szCs w:val="24"/>
        </w:rPr>
        <w:t>S</w:t>
      </w:r>
      <w:r w:rsidR="00CD3E2A">
        <w:rPr>
          <w:caps/>
          <w:sz w:val="24"/>
          <w:szCs w:val="24"/>
        </w:rPr>
        <w:t xml:space="preserve">ervices </w:t>
      </w:r>
      <w:r w:rsidR="007776CA">
        <w:rPr>
          <w:caps/>
          <w:sz w:val="24"/>
          <w:szCs w:val="24"/>
        </w:rPr>
        <w:t>Network</w:t>
      </w:r>
      <w:r w:rsidRPr="00023734">
        <w:rPr>
          <w:caps/>
          <w:sz w:val="24"/>
          <w:szCs w:val="24"/>
        </w:rPr>
        <w:t xml:space="preserve"> Webcast &amp; Legal Quick Hit Attendance Numbers</w:t>
      </w:r>
    </w:p>
    <w:p w14:paraId="3C481333" w14:textId="77777777" w:rsidR="00CD3E2A" w:rsidRPr="009F348A" w:rsidRDefault="00CD3E2A" w:rsidP="00CD3E2A">
      <w:pPr>
        <w:pStyle w:val="BodyText"/>
        <w:ind w:left="0"/>
        <w:rPr>
          <w:sz w:val="22"/>
          <w:szCs w:val="22"/>
        </w:rPr>
      </w:pPr>
      <w:r w:rsidRPr="00272FB7">
        <w:rPr>
          <w:sz w:val="22"/>
          <w:szCs w:val="22"/>
          <w:u w:val="single"/>
        </w:rPr>
        <w:t>APAC Call</w:t>
      </w:r>
      <w:r>
        <w:rPr>
          <w:sz w:val="22"/>
          <w:szCs w:val="22"/>
        </w:rPr>
        <w:t xml:space="preserve"> (APAC) </w:t>
      </w:r>
      <w:r w:rsidRPr="009F348A">
        <w:rPr>
          <w:sz w:val="22"/>
          <w:szCs w:val="22"/>
        </w:rPr>
        <w:t>– One-hour live presentations on the latest legal trends</w:t>
      </w:r>
      <w:r>
        <w:rPr>
          <w:sz w:val="22"/>
          <w:szCs w:val="22"/>
        </w:rPr>
        <w:t xml:space="preserve"> affecting organizations in the Asia-Pacific region and multinational companies</w:t>
      </w:r>
      <w:r w:rsidRPr="009F348A">
        <w:rPr>
          <w:sz w:val="22"/>
          <w:szCs w:val="22"/>
        </w:rPr>
        <w:t>. Available live or on-demand through the ACC Education Archive. CLE/CPD credit available for a fee.</w:t>
      </w:r>
    </w:p>
    <w:p w14:paraId="341566B7" w14:textId="77777777" w:rsidR="00CD3E2A" w:rsidRPr="009F348A" w:rsidRDefault="00CD3E2A" w:rsidP="00CD3E2A">
      <w:pPr>
        <w:pStyle w:val="BodyText"/>
        <w:ind w:left="0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EMEA Call (EMEA) </w:t>
      </w:r>
      <w:r w:rsidRPr="009F348A">
        <w:rPr>
          <w:sz w:val="22"/>
          <w:szCs w:val="22"/>
        </w:rPr>
        <w:t xml:space="preserve">– </w:t>
      </w:r>
      <w:r>
        <w:rPr>
          <w:sz w:val="22"/>
          <w:szCs w:val="22"/>
        </w:rPr>
        <w:t>Thirty-minute-</w:t>
      </w:r>
      <w:proofErr w:type="gramStart"/>
      <w:r>
        <w:rPr>
          <w:sz w:val="22"/>
          <w:szCs w:val="22"/>
        </w:rPr>
        <w:t>one hour</w:t>
      </w:r>
      <w:proofErr w:type="gramEnd"/>
      <w:r w:rsidRPr="009F348A">
        <w:rPr>
          <w:sz w:val="22"/>
          <w:szCs w:val="22"/>
        </w:rPr>
        <w:t xml:space="preserve"> live presentations on the latest legal trends</w:t>
      </w:r>
      <w:r>
        <w:rPr>
          <w:sz w:val="22"/>
          <w:szCs w:val="22"/>
        </w:rPr>
        <w:t xml:space="preserve"> affecting organizations in Europe, Africa, and/or the Middle East and multinational companies</w:t>
      </w:r>
      <w:r w:rsidRPr="009F348A">
        <w:rPr>
          <w:sz w:val="22"/>
          <w:szCs w:val="22"/>
        </w:rPr>
        <w:t>. Available live or on-demand through the ACC Education Archive.</w:t>
      </w:r>
      <w:r>
        <w:rPr>
          <w:sz w:val="22"/>
          <w:szCs w:val="22"/>
        </w:rPr>
        <w:t xml:space="preserve"> </w:t>
      </w:r>
      <w:r w:rsidRPr="009F348A">
        <w:rPr>
          <w:sz w:val="22"/>
          <w:szCs w:val="22"/>
        </w:rPr>
        <w:t>No CLE/CPD credit available.</w:t>
      </w:r>
    </w:p>
    <w:p w14:paraId="3412567E" w14:textId="76F57D90" w:rsidR="00CD3E2A" w:rsidRDefault="00CD3E2A" w:rsidP="00CD3E2A">
      <w:pPr>
        <w:pStyle w:val="BodyText"/>
        <w:ind w:left="0"/>
        <w:rPr>
          <w:sz w:val="22"/>
          <w:szCs w:val="22"/>
        </w:rPr>
      </w:pPr>
      <w:r w:rsidRPr="009F348A">
        <w:rPr>
          <w:sz w:val="22"/>
          <w:szCs w:val="22"/>
          <w:u w:val="single"/>
        </w:rPr>
        <w:t>Legal Quick Hit (LQH)</w:t>
      </w:r>
      <w:r w:rsidR="008C4423">
        <w:rPr>
          <w:sz w:val="22"/>
          <w:szCs w:val="22"/>
        </w:rPr>
        <w:t xml:space="preserve"> – Short (20 to 40</w:t>
      </w:r>
      <w:r w:rsidRPr="009F348A">
        <w:rPr>
          <w:sz w:val="22"/>
          <w:szCs w:val="22"/>
        </w:rPr>
        <w:t xml:space="preserve">-minute) presentations on the latest legal trends made on the monthly </w:t>
      </w:r>
      <w:r w:rsidR="007776CA">
        <w:rPr>
          <w:sz w:val="22"/>
          <w:szCs w:val="22"/>
        </w:rPr>
        <w:t>Network</w:t>
      </w:r>
      <w:r w:rsidRPr="009F348A">
        <w:rPr>
          <w:sz w:val="22"/>
          <w:szCs w:val="22"/>
        </w:rPr>
        <w:t xml:space="preserve"> Teleconference calls. Available live or on-demand through the ACC Education Archive. No CLE/CPD credit available.</w:t>
      </w:r>
    </w:p>
    <w:p w14:paraId="3E8CFBB6" w14:textId="77777777" w:rsidR="00CD3E2A" w:rsidRPr="009F348A" w:rsidRDefault="00CD3E2A" w:rsidP="00CD3E2A">
      <w:pPr>
        <w:pStyle w:val="BodyText"/>
        <w:ind w:left="0"/>
        <w:rPr>
          <w:sz w:val="22"/>
          <w:szCs w:val="22"/>
        </w:rPr>
      </w:pPr>
      <w:r>
        <w:rPr>
          <w:sz w:val="22"/>
          <w:szCs w:val="22"/>
          <w:u w:val="single"/>
        </w:rPr>
        <w:t>Roundtable Discussion</w:t>
      </w:r>
      <w:r w:rsidRPr="009F348A">
        <w:rPr>
          <w:sz w:val="22"/>
          <w:szCs w:val="22"/>
          <w:u w:val="single"/>
        </w:rPr>
        <w:t xml:space="preserve"> (</w:t>
      </w:r>
      <w:r>
        <w:rPr>
          <w:sz w:val="22"/>
          <w:szCs w:val="22"/>
          <w:u w:val="single"/>
        </w:rPr>
        <w:t>R</w:t>
      </w:r>
      <w:r w:rsidRPr="009F348A">
        <w:rPr>
          <w:sz w:val="22"/>
          <w:szCs w:val="22"/>
          <w:u w:val="single"/>
        </w:rPr>
        <w:t>)</w:t>
      </w:r>
      <w:r w:rsidRPr="009F348A">
        <w:rPr>
          <w:sz w:val="22"/>
          <w:szCs w:val="22"/>
        </w:rPr>
        <w:t xml:space="preserve"> – </w:t>
      </w:r>
      <w:r>
        <w:rPr>
          <w:sz w:val="22"/>
          <w:szCs w:val="22"/>
        </w:rPr>
        <w:t>Thirty-minute-</w:t>
      </w:r>
      <w:proofErr w:type="gramStart"/>
      <w:r>
        <w:rPr>
          <w:sz w:val="22"/>
          <w:szCs w:val="22"/>
        </w:rPr>
        <w:t>one hour</w:t>
      </w:r>
      <w:proofErr w:type="gramEnd"/>
      <w:r w:rsidRPr="009F348A">
        <w:rPr>
          <w:sz w:val="22"/>
          <w:szCs w:val="22"/>
        </w:rPr>
        <w:t xml:space="preserve"> live presentations on the latest legal trends </w:t>
      </w:r>
      <w:r>
        <w:rPr>
          <w:sz w:val="22"/>
          <w:szCs w:val="22"/>
        </w:rPr>
        <w:t>featuring an interactive discussion between two or more industry or topic area experts</w:t>
      </w:r>
      <w:r w:rsidRPr="009F348A">
        <w:rPr>
          <w:sz w:val="22"/>
          <w:szCs w:val="22"/>
        </w:rPr>
        <w:t>. Available live or on-demand through the ACC Education Archive. No CLE/CPD credit available.</w:t>
      </w:r>
    </w:p>
    <w:p w14:paraId="41A14A16" w14:textId="77777777" w:rsidR="00CD3E2A" w:rsidRDefault="00CD3E2A" w:rsidP="00CD3E2A">
      <w:pPr>
        <w:pStyle w:val="BodyText"/>
        <w:ind w:left="0"/>
        <w:rPr>
          <w:sz w:val="22"/>
          <w:szCs w:val="22"/>
        </w:rPr>
      </w:pPr>
      <w:r w:rsidRPr="009F348A">
        <w:rPr>
          <w:sz w:val="22"/>
          <w:szCs w:val="22"/>
          <w:u w:val="single"/>
        </w:rPr>
        <w:t>Webcast (W)</w:t>
      </w:r>
      <w:r w:rsidRPr="009F348A">
        <w:rPr>
          <w:sz w:val="22"/>
          <w:szCs w:val="22"/>
        </w:rPr>
        <w:t xml:space="preserve"> – One-hour live presentations on the latest legal trends. Available live or on-demand through the ACC Education Archive. CLE/CPD credit available for a fee.</w:t>
      </w:r>
    </w:p>
    <w:p w14:paraId="4546C6CB" w14:textId="1DDCD79B" w:rsidR="00402105" w:rsidRPr="00D216A4" w:rsidRDefault="00402105" w:rsidP="00402105">
      <w:pPr>
        <w:pStyle w:val="BodyText"/>
        <w:ind w:left="0"/>
        <w:rPr>
          <w:sz w:val="24"/>
          <w:szCs w:val="24"/>
        </w:rPr>
      </w:pPr>
    </w:p>
    <w:tbl>
      <w:tblPr>
        <w:tblStyle w:val="MediumShading1"/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5670"/>
        <w:gridCol w:w="1350"/>
        <w:gridCol w:w="1393"/>
      </w:tblGrid>
      <w:tr w:rsidR="0067416D" w:rsidRPr="00D216A4" w14:paraId="02F0F009" w14:textId="77777777" w:rsidTr="00125F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bottom w:val="single" w:sz="4" w:space="0" w:color="auto"/>
            </w:tcBorders>
          </w:tcPr>
          <w:p w14:paraId="18AABF59" w14:textId="3C795833" w:rsidR="00365C11" w:rsidRPr="00D216A4" w:rsidRDefault="00365C11" w:rsidP="008C4423">
            <w:pPr>
              <w:pStyle w:val="BodyText"/>
              <w:ind w:left="90"/>
              <w:rPr>
                <w:sz w:val="24"/>
                <w:szCs w:val="24"/>
              </w:rPr>
            </w:pPr>
            <w:r w:rsidRPr="00D216A4">
              <w:rPr>
                <w:sz w:val="24"/>
                <w:szCs w:val="24"/>
              </w:rPr>
              <w:t>Date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697B774C" w14:textId="1639789E" w:rsidR="00365C11" w:rsidRPr="00D216A4" w:rsidRDefault="00365C11" w:rsidP="00402105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216A4">
              <w:rPr>
                <w:sz w:val="24"/>
                <w:szCs w:val="24"/>
              </w:rPr>
              <w:t>Event Title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09C80C4" w14:textId="0D2188C7" w:rsidR="00365C11" w:rsidRPr="00D216A4" w:rsidRDefault="008C4423" w:rsidP="008C4423">
            <w:pPr>
              <w:pStyle w:val="BodyText"/>
              <w:ind w:left="7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 Type</w:t>
            </w: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14:paraId="4F04B718" w14:textId="556F09B3" w:rsidR="00365C11" w:rsidRPr="00D216A4" w:rsidRDefault="008C4423" w:rsidP="008C4423">
            <w:pPr>
              <w:pStyle w:val="BodyText"/>
              <w:ind w:left="-1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Views</w:t>
            </w:r>
          </w:p>
        </w:tc>
      </w:tr>
      <w:tr w:rsidR="00125FAD" w:rsidRPr="0067416D" w14:paraId="0FADE807" w14:textId="77777777" w:rsidTr="00125F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1" w:type="dxa"/>
            <w:gridSpan w:val="4"/>
            <w:vAlign w:val="center"/>
          </w:tcPr>
          <w:p w14:paraId="53020606" w14:textId="4BF80A96" w:rsidR="00125FAD" w:rsidRPr="00186620" w:rsidRDefault="00125FAD" w:rsidP="009F5A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</w:t>
            </w:r>
            <w:r w:rsidR="00443477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-20</w:t>
            </w:r>
            <w:r w:rsidR="00443477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443477" w:rsidRPr="0067416D" w14:paraId="45706F02" w14:textId="77777777" w:rsidTr="00B63F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center"/>
          </w:tcPr>
          <w:p w14:paraId="33906C47" w14:textId="48E4F8A2" w:rsidR="00443477" w:rsidRPr="00443477" w:rsidRDefault="00443477" w:rsidP="00B63F11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443477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9/23/2020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6BAD5" w14:textId="5AE524DA" w:rsidR="00443477" w:rsidRPr="00443477" w:rsidRDefault="00443477" w:rsidP="00B63F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3477">
              <w:rPr>
                <w:rFonts w:ascii="Arial" w:hAnsi="Arial" w:cs="Arial"/>
                <w:i/>
                <w:iCs/>
                <w:color w:val="948A54"/>
                <w:sz w:val="24"/>
                <w:szCs w:val="24"/>
              </w:rPr>
              <w:t>Co-sponsored LQH with IT, Privacy, &amp; eCommerce and Women in the House</w:t>
            </w:r>
            <w:r w:rsidRPr="00443477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Basic </w:t>
            </w:r>
            <w:proofErr w:type="spellStart"/>
            <w:r w:rsidRPr="00443477">
              <w:rPr>
                <w:rFonts w:ascii="Arial" w:hAnsi="Arial" w:cs="Arial"/>
                <w:color w:val="000000"/>
                <w:sz w:val="24"/>
                <w:szCs w:val="24"/>
              </w:rPr>
              <w:t>Cybertech</w:t>
            </w:r>
            <w:proofErr w:type="spellEnd"/>
            <w:r w:rsidRPr="00443477">
              <w:rPr>
                <w:rFonts w:ascii="Arial" w:hAnsi="Arial" w:cs="Arial"/>
                <w:color w:val="000000"/>
                <w:sz w:val="24"/>
                <w:szCs w:val="24"/>
              </w:rPr>
              <w:t xml:space="preserve"> for Lawyers: How to Make Sense of a "Pen Test" Forensic Report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A4B75" w14:textId="4E188D2E" w:rsidR="00443477" w:rsidRDefault="00443477" w:rsidP="00B63F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F11">
              <w:rPr>
                <w:rFonts w:ascii="Arial" w:hAnsi="Arial"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vAlign w:val="center"/>
          </w:tcPr>
          <w:p w14:paraId="177D8553" w14:textId="0DAAE704" w:rsidR="00443477" w:rsidRDefault="00443477" w:rsidP="00B63F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237</w:t>
            </w:r>
          </w:p>
        </w:tc>
      </w:tr>
      <w:tr w:rsidR="00443477" w:rsidRPr="0067416D" w14:paraId="2C969013" w14:textId="77777777" w:rsidTr="00471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center"/>
          </w:tcPr>
          <w:p w14:paraId="055F7FDD" w14:textId="2439E445" w:rsidR="00443477" w:rsidRPr="00443477" w:rsidRDefault="00443477" w:rsidP="00443477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443477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lastRenderedPageBreak/>
              <w:t>9/16/2020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8F67C" w14:textId="0A427A55" w:rsidR="00443477" w:rsidRPr="00443477" w:rsidRDefault="00443477" w:rsidP="00443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3477">
              <w:rPr>
                <w:rFonts w:ascii="Arial" w:hAnsi="Arial" w:cs="Arial"/>
                <w:color w:val="000000"/>
                <w:sz w:val="24"/>
                <w:szCs w:val="24"/>
              </w:rPr>
              <w:t xml:space="preserve">PPP Loans: The Government Starts </w:t>
            </w:r>
            <w:proofErr w:type="gramStart"/>
            <w:r w:rsidRPr="00443477">
              <w:rPr>
                <w:rFonts w:ascii="Arial" w:hAnsi="Arial" w:cs="Arial"/>
                <w:color w:val="000000"/>
                <w:sz w:val="24"/>
                <w:szCs w:val="24"/>
              </w:rPr>
              <w:t>To</w:t>
            </w:r>
            <w:proofErr w:type="gramEnd"/>
            <w:r w:rsidRPr="00443477">
              <w:rPr>
                <w:rFonts w:ascii="Arial" w:hAnsi="Arial" w:cs="Arial"/>
                <w:color w:val="000000"/>
                <w:sz w:val="24"/>
                <w:szCs w:val="24"/>
              </w:rPr>
              <w:t xml:space="preserve"> Review and Audit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41D4CB8A" w14:textId="532DBD81" w:rsidR="00443477" w:rsidRDefault="00443477" w:rsidP="00443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591B">
              <w:rPr>
                <w:rFonts w:ascii="Arial" w:hAnsi="Arial"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vAlign w:val="center"/>
          </w:tcPr>
          <w:p w14:paraId="1B913478" w14:textId="62B1C96D" w:rsidR="00443477" w:rsidRDefault="00443477" w:rsidP="00443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34</w:t>
            </w:r>
          </w:p>
        </w:tc>
      </w:tr>
      <w:tr w:rsidR="00443477" w:rsidRPr="0067416D" w14:paraId="42E3FCCF" w14:textId="77777777" w:rsidTr="00471B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center"/>
          </w:tcPr>
          <w:p w14:paraId="29DAFA49" w14:textId="5464F630" w:rsidR="00443477" w:rsidRPr="00443477" w:rsidRDefault="00443477" w:rsidP="00443477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443477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7/29/2020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091CB" w14:textId="42A6885E" w:rsidR="00443477" w:rsidRPr="00443477" w:rsidRDefault="00443477" w:rsidP="004434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3477">
              <w:rPr>
                <w:rFonts w:ascii="Arial" w:hAnsi="Arial" w:cs="Arial"/>
                <w:color w:val="000000"/>
                <w:sz w:val="24"/>
                <w:szCs w:val="24"/>
              </w:rPr>
              <w:t>Annual Supreme Court in Review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06A5F955" w14:textId="1CCBD083" w:rsidR="00443477" w:rsidRDefault="00443477" w:rsidP="004434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591B">
              <w:rPr>
                <w:rFonts w:ascii="Arial" w:hAnsi="Arial"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vAlign w:val="center"/>
          </w:tcPr>
          <w:p w14:paraId="285AEA87" w14:textId="2FCCD70B" w:rsidR="00443477" w:rsidRDefault="00443477" w:rsidP="004434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32</w:t>
            </w:r>
          </w:p>
        </w:tc>
      </w:tr>
      <w:tr w:rsidR="00443477" w:rsidRPr="0067416D" w14:paraId="4FEC28CA" w14:textId="77777777" w:rsidTr="00471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center"/>
          </w:tcPr>
          <w:p w14:paraId="3F665AC7" w14:textId="22ABCB0F" w:rsidR="00443477" w:rsidRPr="00443477" w:rsidRDefault="00443477" w:rsidP="00443477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443477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6/24/2020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56C5E" w14:textId="7C7C99B9" w:rsidR="00443477" w:rsidRPr="00443477" w:rsidRDefault="00443477" w:rsidP="00443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3477">
              <w:rPr>
                <w:rFonts w:ascii="Arial" w:hAnsi="Arial" w:cs="Arial"/>
                <w:color w:val="000000"/>
                <w:sz w:val="24"/>
                <w:szCs w:val="24"/>
              </w:rPr>
              <w:t>Money Transmission, Payments, and Fintech Update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4F0B3773" w14:textId="520AF27A" w:rsidR="00443477" w:rsidRDefault="00443477" w:rsidP="00443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591B">
              <w:rPr>
                <w:rFonts w:ascii="Arial" w:hAnsi="Arial"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vAlign w:val="center"/>
          </w:tcPr>
          <w:p w14:paraId="7C5B26CB" w14:textId="64C273ED" w:rsidR="00443477" w:rsidRDefault="00443477" w:rsidP="00443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37</w:t>
            </w:r>
          </w:p>
        </w:tc>
      </w:tr>
      <w:tr w:rsidR="00443477" w:rsidRPr="0067416D" w14:paraId="37259D99" w14:textId="77777777" w:rsidTr="00471B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center"/>
          </w:tcPr>
          <w:p w14:paraId="5314EA43" w14:textId="55AA2CFC" w:rsidR="00443477" w:rsidRPr="00443477" w:rsidRDefault="00443477" w:rsidP="00443477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443477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5/14/2020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BF90F" w14:textId="44AA2C4C" w:rsidR="00443477" w:rsidRPr="00443477" w:rsidRDefault="00443477" w:rsidP="004434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3477">
              <w:rPr>
                <w:rFonts w:ascii="Arial" w:hAnsi="Arial" w:cs="Arial"/>
                <w:color w:val="000000"/>
                <w:sz w:val="24"/>
                <w:szCs w:val="24"/>
              </w:rPr>
              <w:t>Force Majeure and Impossibility of Performance in the Covid-19 Present – A Practical Understanding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1D3EA3CC" w14:textId="090517B4" w:rsidR="00443477" w:rsidRDefault="00443477" w:rsidP="004434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591B">
              <w:rPr>
                <w:rFonts w:ascii="Arial" w:hAnsi="Arial"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vAlign w:val="center"/>
          </w:tcPr>
          <w:p w14:paraId="071E7971" w14:textId="3DEA9741" w:rsidR="00443477" w:rsidRDefault="00443477" w:rsidP="004434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324</w:t>
            </w:r>
          </w:p>
        </w:tc>
      </w:tr>
      <w:tr w:rsidR="00443477" w:rsidRPr="0067416D" w14:paraId="597EB7CA" w14:textId="77777777" w:rsidTr="00471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center"/>
          </w:tcPr>
          <w:p w14:paraId="637A23A3" w14:textId="05956AB5" w:rsidR="00443477" w:rsidRPr="00443477" w:rsidRDefault="00443477" w:rsidP="00443477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443477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5/7/2020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60C10" w14:textId="7203B625" w:rsidR="00443477" w:rsidRPr="00443477" w:rsidRDefault="00443477" w:rsidP="00443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3477">
              <w:rPr>
                <w:rFonts w:ascii="Arial" w:hAnsi="Arial" w:cs="Arial"/>
                <w:i/>
                <w:iCs/>
                <w:color w:val="948A54"/>
                <w:sz w:val="24"/>
                <w:szCs w:val="24"/>
              </w:rPr>
              <w:t>Co-sponsored LQH with Real Estate &amp; Women in the House</w:t>
            </w:r>
            <w:r w:rsidRPr="00443477">
              <w:rPr>
                <w:rFonts w:ascii="Arial" w:hAnsi="Arial" w:cs="Arial"/>
                <w:color w:val="000000"/>
                <w:sz w:val="24"/>
                <w:szCs w:val="24"/>
              </w:rPr>
              <w:br/>
              <w:t>The Return to Work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65F9B892" w14:textId="236AFEA7" w:rsidR="00443477" w:rsidRDefault="00443477" w:rsidP="00443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591B">
              <w:rPr>
                <w:rFonts w:ascii="Arial" w:hAnsi="Arial"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vAlign w:val="center"/>
          </w:tcPr>
          <w:p w14:paraId="382AB56C" w14:textId="3C19E424" w:rsidR="00443477" w:rsidRDefault="00443477" w:rsidP="00443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87</w:t>
            </w:r>
          </w:p>
        </w:tc>
      </w:tr>
      <w:tr w:rsidR="00443477" w:rsidRPr="0067416D" w14:paraId="6CDBA150" w14:textId="77777777" w:rsidTr="00471B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center"/>
          </w:tcPr>
          <w:p w14:paraId="6D5DAC21" w14:textId="1501D25A" w:rsidR="00443477" w:rsidRPr="00443477" w:rsidRDefault="00443477" w:rsidP="00443477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443477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5/6/2020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14F78" w14:textId="5370661A" w:rsidR="00443477" w:rsidRPr="00443477" w:rsidRDefault="00443477" w:rsidP="004434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3477">
              <w:rPr>
                <w:rFonts w:ascii="Arial" w:hAnsi="Arial" w:cs="Arial"/>
                <w:color w:val="000000"/>
                <w:sz w:val="24"/>
                <w:szCs w:val="24"/>
              </w:rPr>
              <w:t>COVID-19 and Insurance: Best Practices Now and Moving Forward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70729492" w14:textId="5AB8113A" w:rsidR="00443477" w:rsidRDefault="00443477" w:rsidP="004434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591B">
              <w:rPr>
                <w:rFonts w:ascii="Arial" w:hAnsi="Arial"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vAlign w:val="center"/>
          </w:tcPr>
          <w:p w14:paraId="76BA870B" w14:textId="06122FD1" w:rsidR="00443477" w:rsidRDefault="00443477" w:rsidP="004434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443477" w:rsidRPr="0067416D" w14:paraId="73C8349F" w14:textId="77777777" w:rsidTr="00471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center"/>
          </w:tcPr>
          <w:p w14:paraId="40C85EB1" w14:textId="0C42E693" w:rsidR="00443477" w:rsidRPr="00443477" w:rsidRDefault="00443477" w:rsidP="00443477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443477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5/5/2020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5840A" w14:textId="70BD6BF5" w:rsidR="00443477" w:rsidRPr="00443477" w:rsidRDefault="00443477" w:rsidP="00443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3477">
              <w:rPr>
                <w:rFonts w:ascii="Arial" w:hAnsi="Arial" w:cs="Arial"/>
                <w:color w:val="000000"/>
                <w:sz w:val="24"/>
                <w:szCs w:val="24"/>
              </w:rPr>
              <w:t>COVID-Related Delays or Disruption to U.S. Remediation Work: Immediate Actions and Future Planning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3D07685F" w14:textId="6279BFA0" w:rsidR="00443477" w:rsidRDefault="00443477" w:rsidP="00443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591B">
              <w:rPr>
                <w:rFonts w:ascii="Arial" w:hAnsi="Arial"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vAlign w:val="center"/>
          </w:tcPr>
          <w:p w14:paraId="603BDE33" w14:textId="0D0C57C4" w:rsidR="00443477" w:rsidRDefault="00443477" w:rsidP="00443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</w:tr>
      <w:tr w:rsidR="00443477" w:rsidRPr="0067416D" w14:paraId="4AF3AB15" w14:textId="77777777" w:rsidTr="00471B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center"/>
          </w:tcPr>
          <w:p w14:paraId="391703F9" w14:textId="5217419F" w:rsidR="00443477" w:rsidRPr="00443477" w:rsidRDefault="00443477" w:rsidP="00443477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443477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4/29/2020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04498" w14:textId="6085EAF7" w:rsidR="00443477" w:rsidRPr="00443477" w:rsidRDefault="00443477" w:rsidP="004434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3477">
              <w:rPr>
                <w:rFonts w:ascii="Arial" w:hAnsi="Arial" w:cs="Arial"/>
                <w:color w:val="000000"/>
                <w:sz w:val="24"/>
                <w:szCs w:val="24"/>
              </w:rPr>
              <w:t>Small Business Administration’s PPP Loan: Forgiveness and Next Steps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7C544C96" w14:textId="73B949FE" w:rsidR="00443477" w:rsidRDefault="00443477" w:rsidP="004434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591B">
              <w:rPr>
                <w:rFonts w:ascii="Arial" w:hAnsi="Arial"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vAlign w:val="center"/>
          </w:tcPr>
          <w:p w14:paraId="490B20BC" w14:textId="698BCDC6" w:rsidR="00443477" w:rsidRDefault="00443477" w:rsidP="004434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222</w:t>
            </w:r>
          </w:p>
        </w:tc>
      </w:tr>
      <w:tr w:rsidR="00443477" w:rsidRPr="00443477" w14:paraId="0095F6AE" w14:textId="77777777" w:rsidTr="00471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center"/>
          </w:tcPr>
          <w:p w14:paraId="33179412" w14:textId="4D0825A2" w:rsidR="00443477" w:rsidRPr="00443477" w:rsidRDefault="00443477" w:rsidP="00443477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443477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4/2/2020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844FE" w14:textId="49EE9E73" w:rsidR="00443477" w:rsidRPr="00443477" w:rsidRDefault="00443477" w:rsidP="00443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3477">
              <w:rPr>
                <w:rFonts w:ascii="Arial" w:hAnsi="Arial" w:cs="Arial"/>
                <w:color w:val="000000"/>
                <w:sz w:val="24"/>
                <w:szCs w:val="24"/>
              </w:rPr>
              <w:t>Small Business Loans in the CARES Act: Considerations for Borrowers and Lenders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2E9B7E92" w14:textId="48408655" w:rsidR="00443477" w:rsidRPr="00443477" w:rsidRDefault="00443477" w:rsidP="00443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3477">
              <w:rPr>
                <w:rFonts w:ascii="Arial" w:hAnsi="Arial" w:cs="Arial"/>
                <w:color w:val="000000"/>
                <w:sz w:val="24"/>
                <w:szCs w:val="24"/>
              </w:rPr>
              <w:t>W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vAlign w:val="center"/>
          </w:tcPr>
          <w:p w14:paraId="1E5366A8" w14:textId="7EACDA52" w:rsidR="00443477" w:rsidRPr="00443477" w:rsidRDefault="00443477" w:rsidP="00443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3477">
              <w:rPr>
                <w:rFonts w:ascii="Arial" w:hAnsi="Arial" w:cs="Arial"/>
                <w:color w:val="000000"/>
                <w:sz w:val="24"/>
                <w:szCs w:val="24"/>
              </w:rPr>
              <w:t>533</w:t>
            </w:r>
          </w:p>
        </w:tc>
      </w:tr>
      <w:tr w:rsidR="00443477" w:rsidRPr="0067416D" w14:paraId="29CEF362" w14:textId="77777777" w:rsidTr="00471B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center"/>
          </w:tcPr>
          <w:p w14:paraId="00F715DB" w14:textId="09F22814" w:rsidR="00443477" w:rsidRPr="00443477" w:rsidRDefault="00443477" w:rsidP="00443477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443477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4/1/2020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E2224" w14:textId="007A93D7" w:rsidR="00443477" w:rsidRPr="00443477" w:rsidRDefault="00443477" w:rsidP="004434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3477">
              <w:rPr>
                <w:rFonts w:ascii="Arial" w:hAnsi="Arial" w:cs="Arial"/>
                <w:i/>
                <w:iCs/>
                <w:color w:val="948A54"/>
                <w:sz w:val="24"/>
                <w:szCs w:val="24"/>
              </w:rPr>
              <w:t>Co-sponsored LQH with Real Estate &amp; Women in the House</w:t>
            </w:r>
            <w:r w:rsidRPr="00443477">
              <w:rPr>
                <w:rFonts w:ascii="Arial" w:hAnsi="Arial" w:cs="Arial"/>
                <w:color w:val="000000"/>
                <w:sz w:val="24"/>
                <w:szCs w:val="24"/>
              </w:rPr>
              <w:br/>
              <w:t>How Boards are Navigating the Coronavirus (COVID 19) Pandemic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13407FAC" w14:textId="2658928E" w:rsidR="00443477" w:rsidRDefault="00443477" w:rsidP="004434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591B">
              <w:rPr>
                <w:rFonts w:ascii="Arial" w:hAnsi="Arial"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vAlign w:val="center"/>
          </w:tcPr>
          <w:p w14:paraId="2C6E9821" w14:textId="31C4882C" w:rsidR="00443477" w:rsidRDefault="00443477" w:rsidP="004434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443477" w:rsidRPr="0067416D" w14:paraId="7340221C" w14:textId="77777777" w:rsidTr="00471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center"/>
          </w:tcPr>
          <w:p w14:paraId="035BBA14" w14:textId="48DCA2BE" w:rsidR="00443477" w:rsidRPr="00443477" w:rsidRDefault="00443477" w:rsidP="00443477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443477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3/25/20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E4753" w14:textId="64D5F489" w:rsidR="00443477" w:rsidRPr="00443477" w:rsidRDefault="00443477" w:rsidP="00443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3477">
              <w:rPr>
                <w:rFonts w:ascii="Arial" w:hAnsi="Arial" w:cs="Arial"/>
                <w:color w:val="000000"/>
                <w:sz w:val="24"/>
                <w:szCs w:val="24"/>
              </w:rPr>
              <w:t>The CFPB – Here today, Gone Tomorrow?  What does that mean for the Financial Services Industry?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66032A3B" w14:textId="2EFB200A" w:rsidR="00443477" w:rsidRDefault="00443477" w:rsidP="00443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591B">
              <w:rPr>
                <w:rFonts w:ascii="Arial" w:hAnsi="Arial"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vAlign w:val="center"/>
          </w:tcPr>
          <w:p w14:paraId="22781165" w14:textId="17EAA1ED" w:rsidR="00443477" w:rsidRDefault="00443477" w:rsidP="00443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</w:tr>
      <w:tr w:rsidR="00443477" w:rsidRPr="0067416D" w14:paraId="62B92244" w14:textId="77777777" w:rsidTr="00471B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center"/>
          </w:tcPr>
          <w:p w14:paraId="7E6984E1" w14:textId="71BB8401" w:rsidR="00443477" w:rsidRPr="00443477" w:rsidRDefault="00443477" w:rsidP="00443477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443477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3/24/2020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B9D8E" w14:textId="13089588" w:rsidR="00443477" w:rsidRPr="00443477" w:rsidRDefault="00443477" w:rsidP="004434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3477">
              <w:rPr>
                <w:rFonts w:ascii="Arial" w:hAnsi="Arial" w:cs="Arial"/>
                <w:color w:val="000000"/>
                <w:sz w:val="24"/>
                <w:szCs w:val="24"/>
              </w:rPr>
              <w:t>Navigating an Evolving Insurance Landscape in the Face of the Coronavirus (COVID-19) Pandemic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0B782722" w14:textId="7308D9ED" w:rsidR="00443477" w:rsidRDefault="00443477" w:rsidP="004434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591B">
              <w:rPr>
                <w:rFonts w:ascii="Arial" w:hAnsi="Arial"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vAlign w:val="center"/>
          </w:tcPr>
          <w:p w14:paraId="1B81EEF6" w14:textId="5C67C0CF" w:rsidR="00443477" w:rsidRDefault="00443477" w:rsidP="004434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129</w:t>
            </w:r>
          </w:p>
        </w:tc>
      </w:tr>
      <w:tr w:rsidR="00443477" w:rsidRPr="0067416D" w14:paraId="16E07F0A" w14:textId="77777777" w:rsidTr="00471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center"/>
          </w:tcPr>
          <w:p w14:paraId="03B45422" w14:textId="535BC017" w:rsidR="00443477" w:rsidRPr="00443477" w:rsidRDefault="00443477" w:rsidP="00443477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443477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3/17/2020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C5D3E" w14:textId="5230AC15" w:rsidR="00443477" w:rsidRPr="00443477" w:rsidRDefault="00443477" w:rsidP="00443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3477">
              <w:rPr>
                <w:rFonts w:ascii="Arial" w:hAnsi="Arial" w:cs="Arial"/>
                <w:i/>
                <w:iCs/>
                <w:color w:val="948A54"/>
                <w:sz w:val="24"/>
                <w:szCs w:val="24"/>
              </w:rPr>
              <w:t>Co-sponsored LQH with Real Estate</w:t>
            </w:r>
            <w:r w:rsidRPr="00443477">
              <w:rPr>
                <w:rFonts w:ascii="Arial" w:hAnsi="Arial" w:cs="Arial"/>
                <w:color w:val="000000"/>
                <w:sz w:val="24"/>
                <w:szCs w:val="24"/>
              </w:rPr>
              <w:br/>
              <w:t>Confronting COVID-19:  What Every Employer Needs to Know Right Now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4D61D28A" w14:textId="359D3F13" w:rsidR="00443477" w:rsidRDefault="00443477" w:rsidP="00443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591B">
              <w:rPr>
                <w:rFonts w:ascii="Arial" w:hAnsi="Arial"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vAlign w:val="center"/>
          </w:tcPr>
          <w:p w14:paraId="3CD6C8C2" w14:textId="2EEF481D" w:rsidR="00443477" w:rsidRDefault="00443477" w:rsidP="00443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440</w:t>
            </w:r>
          </w:p>
        </w:tc>
      </w:tr>
      <w:tr w:rsidR="00443477" w:rsidRPr="0067416D" w14:paraId="061E9867" w14:textId="77777777" w:rsidTr="00471B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center"/>
          </w:tcPr>
          <w:p w14:paraId="710C6470" w14:textId="5CF0147C" w:rsidR="00443477" w:rsidRPr="00443477" w:rsidRDefault="00443477" w:rsidP="00443477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443477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2/26/20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5FF1C" w14:textId="7FB3A101" w:rsidR="00443477" w:rsidRPr="00443477" w:rsidRDefault="00443477" w:rsidP="004434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3477">
              <w:rPr>
                <w:rFonts w:ascii="Arial" w:hAnsi="Arial" w:cs="Arial"/>
                <w:color w:val="000000"/>
                <w:sz w:val="24"/>
                <w:szCs w:val="24"/>
              </w:rPr>
              <w:t>Millennials in the Workforce: Income-Share Agreements and Consumer Financial Services in the Gig Economy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60C88BF1" w14:textId="767E9D77" w:rsidR="00443477" w:rsidRDefault="00443477" w:rsidP="004434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591B">
              <w:rPr>
                <w:rFonts w:ascii="Arial" w:hAnsi="Arial"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vAlign w:val="center"/>
          </w:tcPr>
          <w:p w14:paraId="08AD944A" w14:textId="63656424" w:rsidR="00443477" w:rsidRDefault="00443477" w:rsidP="004434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</w:p>
        </w:tc>
      </w:tr>
      <w:tr w:rsidR="00443477" w:rsidRPr="0067416D" w14:paraId="7C461561" w14:textId="77777777" w:rsidTr="00471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center"/>
          </w:tcPr>
          <w:p w14:paraId="5EC95FC3" w14:textId="0D5E6F02" w:rsidR="00443477" w:rsidRPr="00443477" w:rsidRDefault="00443477" w:rsidP="00443477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443477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1/29/20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BAC74" w14:textId="2F11A6C3" w:rsidR="00443477" w:rsidRPr="00443477" w:rsidRDefault="00443477" w:rsidP="00443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3477">
              <w:rPr>
                <w:rFonts w:ascii="Arial" w:hAnsi="Arial" w:cs="Arial"/>
                <w:color w:val="000000"/>
                <w:sz w:val="24"/>
                <w:szCs w:val="24"/>
              </w:rPr>
              <w:t xml:space="preserve">Are We Going to Have a Fintech Charter: An Update </w:t>
            </w:r>
            <w:proofErr w:type="gramStart"/>
            <w:r w:rsidRPr="00443477">
              <w:rPr>
                <w:rFonts w:ascii="Arial" w:hAnsi="Arial" w:cs="Arial"/>
                <w:color w:val="000000"/>
                <w:sz w:val="24"/>
                <w:szCs w:val="24"/>
              </w:rPr>
              <w:t>On</w:t>
            </w:r>
            <w:proofErr w:type="gramEnd"/>
            <w:r w:rsidRPr="00443477">
              <w:rPr>
                <w:rFonts w:ascii="Arial" w:hAnsi="Arial" w:cs="Arial"/>
                <w:color w:val="000000"/>
                <w:sz w:val="24"/>
                <w:szCs w:val="24"/>
              </w:rPr>
              <w:t xml:space="preserve"> Where We Are Going Next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33C3DE92" w14:textId="726BE506" w:rsidR="00443477" w:rsidRDefault="00443477" w:rsidP="00443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591B">
              <w:rPr>
                <w:rFonts w:ascii="Arial" w:hAnsi="Arial"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vAlign w:val="center"/>
          </w:tcPr>
          <w:p w14:paraId="7C3E4766" w14:textId="0A96B227" w:rsidR="00443477" w:rsidRDefault="00443477" w:rsidP="00443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</w:p>
        </w:tc>
      </w:tr>
      <w:tr w:rsidR="00443477" w:rsidRPr="0067416D" w14:paraId="36852FA6" w14:textId="77777777" w:rsidTr="00471B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center"/>
          </w:tcPr>
          <w:p w14:paraId="27AF17DC" w14:textId="410285C1" w:rsidR="00443477" w:rsidRPr="00443477" w:rsidRDefault="00443477" w:rsidP="00443477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443477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12/11/2019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322E0" w14:textId="58005706" w:rsidR="00443477" w:rsidRPr="00443477" w:rsidRDefault="00443477" w:rsidP="004434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3477">
              <w:rPr>
                <w:rFonts w:ascii="Arial" w:hAnsi="Arial" w:cs="Arial"/>
                <w:i/>
                <w:iCs/>
                <w:color w:val="948A54"/>
                <w:sz w:val="24"/>
                <w:szCs w:val="24"/>
              </w:rPr>
              <w:t>Co-sponsored LQH with Real Estate &amp; Employment &amp; Labor Law</w:t>
            </w:r>
            <w:r w:rsidRPr="00443477">
              <w:rPr>
                <w:rFonts w:ascii="Arial" w:hAnsi="Arial" w:cs="Arial"/>
                <w:color w:val="000000"/>
                <w:sz w:val="24"/>
                <w:szCs w:val="24"/>
              </w:rPr>
              <w:br/>
              <w:t>The New Norm:  Employment Law Challenges and Changes for Employers in 2020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5BCD9795" w14:textId="303E0EB1" w:rsidR="00443477" w:rsidRDefault="00443477" w:rsidP="004434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591B">
              <w:rPr>
                <w:rFonts w:ascii="Arial" w:hAnsi="Arial"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vAlign w:val="center"/>
          </w:tcPr>
          <w:p w14:paraId="793D0F69" w14:textId="53C04765" w:rsidR="00443477" w:rsidRDefault="00443477" w:rsidP="004434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</w:tr>
      <w:tr w:rsidR="00443477" w:rsidRPr="0067416D" w14:paraId="15260966" w14:textId="77777777" w:rsidTr="00471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center"/>
          </w:tcPr>
          <w:p w14:paraId="2E81BA90" w14:textId="6A0CE6E8" w:rsidR="00443477" w:rsidRPr="00443477" w:rsidRDefault="00443477" w:rsidP="00443477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443477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11/13/2019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EF630" w14:textId="0A02138C" w:rsidR="00443477" w:rsidRPr="00443477" w:rsidRDefault="00443477" w:rsidP="00443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3477">
              <w:rPr>
                <w:rFonts w:ascii="Arial" w:hAnsi="Arial" w:cs="Arial"/>
                <w:i/>
                <w:iCs/>
                <w:color w:val="948A54"/>
                <w:sz w:val="24"/>
                <w:szCs w:val="24"/>
              </w:rPr>
              <w:t>Co-sponsored LQH with Real Estate</w:t>
            </w:r>
            <w:r w:rsidRPr="00443477">
              <w:rPr>
                <w:rFonts w:ascii="Arial" w:hAnsi="Arial" w:cs="Arial"/>
                <w:color w:val="000000"/>
                <w:sz w:val="24"/>
                <w:szCs w:val="24"/>
              </w:rPr>
              <w:br/>
              <w:t>The Final Countdown to the Implementation of the California Consumer Privacy Act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21975B0B" w14:textId="57C66B59" w:rsidR="00443477" w:rsidRDefault="00443477" w:rsidP="00443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591B">
              <w:rPr>
                <w:rFonts w:ascii="Arial" w:hAnsi="Arial"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vAlign w:val="center"/>
          </w:tcPr>
          <w:p w14:paraId="468C7309" w14:textId="580C1CC8" w:rsidR="00443477" w:rsidRDefault="00443477" w:rsidP="00443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</w:tr>
      <w:tr w:rsidR="00443477" w:rsidRPr="0067416D" w14:paraId="0FFCD73C" w14:textId="77777777" w:rsidTr="00471B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center"/>
          </w:tcPr>
          <w:p w14:paraId="6F433B75" w14:textId="1FCB9732" w:rsidR="00443477" w:rsidRPr="00443477" w:rsidRDefault="00443477" w:rsidP="00443477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443477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10/23/2019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CFA8F" w14:textId="0FA8F1B8" w:rsidR="00443477" w:rsidRPr="00443477" w:rsidRDefault="00443477" w:rsidP="004434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3477">
              <w:rPr>
                <w:rFonts w:ascii="Arial" w:hAnsi="Arial" w:cs="Arial"/>
                <w:color w:val="000000"/>
                <w:sz w:val="24"/>
                <w:szCs w:val="24"/>
              </w:rPr>
              <w:t>Preparing for the Open and Hidden Litigation Risks of the CCPA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0134E797" w14:textId="7211275F" w:rsidR="00443477" w:rsidRDefault="00443477" w:rsidP="004434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591B">
              <w:rPr>
                <w:rFonts w:ascii="Arial" w:hAnsi="Arial"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vAlign w:val="center"/>
          </w:tcPr>
          <w:p w14:paraId="65A542B4" w14:textId="51868941" w:rsidR="00443477" w:rsidRDefault="00443477" w:rsidP="004434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170</w:t>
            </w:r>
          </w:p>
        </w:tc>
      </w:tr>
      <w:tr w:rsidR="00443477" w:rsidRPr="0067416D" w14:paraId="788625D2" w14:textId="77777777" w:rsidTr="00471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center"/>
          </w:tcPr>
          <w:p w14:paraId="71D9C9DF" w14:textId="45D3CEC1" w:rsidR="00443477" w:rsidRPr="00443477" w:rsidRDefault="00443477" w:rsidP="00443477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443477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lastRenderedPageBreak/>
              <w:t>10/16/2019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26F3D" w14:textId="4C3D334F" w:rsidR="00443477" w:rsidRPr="00443477" w:rsidRDefault="00443477" w:rsidP="00443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3477">
              <w:rPr>
                <w:rFonts w:ascii="Arial" w:hAnsi="Arial" w:cs="Arial"/>
                <w:color w:val="000000"/>
                <w:sz w:val="24"/>
                <w:szCs w:val="24"/>
              </w:rPr>
              <w:t>E-Signature Today: Law, Innovation, and Growth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0312617D" w14:textId="172052E3" w:rsidR="00443477" w:rsidRDefault="00443477" w:rsidP="00443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591B">
              <w:rPr>
                <w:rFonts w:ascii="Arial" w:hAnsi="Arial"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vAlign w:val="center"/>
          </w:tcPr>
          <w:p w14:paraId="7332A238" w14:textId="35BF515D" w:rsidR="00443477" w:rsidRDefault="00443477" w:rsidP="00443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89</w:t>
            </w:r>
          </w:p>
        </w:tc>
      </w:tr>
      <w:tr w:rsidR="002C2B4C" w:rsidRPr="0067416D" w14:paraId="062BCF92" w14:textId="77777777" w:rsidTr="00B63F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center"/>
          </w:tcPr>
          <w:p w14:paraId="1C1F1E74" w14:textId="05BB0446" w:rsidR="002C2B4C" w:rsidRPr="00443477" w:rsidRDefault="002C2B4C" w:rsidP="00B63F11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443477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9/25/2</w:t>
            </w:r>
            <w:r w:rsidR="00443477" w:rsidRPr="00443477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0</w:t>
            </w:r>
            <w:r w:rsidRPr="00443477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016F6" w14:textId="71DF7D60" w:rsidR="002C2B4C" w:rsidRPr="00443477" w:rsidRDefault="002C2B4C" w:rsidP="00B63F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3477">
              <w:rPr>
                <w:rFonts w:ascii="Arial" w:hAnsi="Arial" w:cs="Arial"/>
                <w:color w:val="000000"/>
                <w:sz w:val="24"/>
                <w:szCs w:val="24"/>
              </w:rPr>
              <w:t>Convenience Fees – Not so convenient after all?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DDEDD" w14:textId="281097FD" w:rsidR="002C2B4C" w:rsidRPr="00B63F11" w:rsidRDefault="002C2B4C" w:rsidP="00B63F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vAlign w:val="center"/>
          </w:tcPr>
          <w:p w14:paraId="5DBBBC18" w14:textId="5ECF6E4E" w:rsidR="002C2B4C" w:rsidRPr="00B63F11" w:rsidRDefault="002C2B4C" w:rsidP="00B63F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</w:p>
        </w:tc>
      </w:tr>
      <w:tr w:rsidR="00B63F11" w:rsidRPr="0067416D" w14:paraId="65BD7207" w14:textId="77777777" w:rsidTr="00B63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center"/>
          </w:tcPr>
          <w:p w14:paraId="4F06C362" w14:textId="49A29240" w:rsidR="00B63F11" w:rsidRPr="00443477" w:rsidRDefault="00B63F11" w:rsidP="00B63F11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43477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7/24/2019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276B2" w14:textId="7CD16BE0" w:rsidR="00B63F11" w:rsidRPr="00443477" w:rsidRDefault="00B63F11" w:rsidP="00B63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43477">
              <w:rPr>
                <w:rFonts w:ascii="Arial" w:hAnsi="Arial" w:cs="Arial"/>
                <w:color w:val="000000"/>
                <w:sz w:val="24"/>
                <w:szCs w:val="24"/>
              </w:rPr>
              <w:t>Annual Supreme Court Year in Review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05A51" w14:textId="09246D49" w:rsidR="00B63F11" w:rsidRPr="00B63F11" w:rsidRDefault="00B63F11" w:rsidP="00B63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63F11">
              <w:rPr>
                <w:rFonts w:ascii="Arial" w:hAnsi="Arial"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vAlign w:val="center"/>
          </w:tcPr>
          <w:p w14:paraId="2F658C20" w14:textId="55813534" w:rsidR="00B63F11" w:rsidRPr="00B63F11" w:rsidRDefault="00B63F11" w:rsidP="00B63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63F11">
              <w:rPr>
                <w:rFonts w:ascii="Arial" w:hAnsi="Arial" w:cs="Arial"/>
                <w:color w:val="000000"/>
                <w:sz w:val="24"/>
                <w:szCs w:val="24"/>
              </w:rPr>
              <w:t>36</w:t>
            </w:r>
          </w:p>
        </w:tc>
      </w:tr>
      <w:tr w:rsidR="00B63F11" w:rsidRPr="0067416D" w14:paraId="75D8D3D8" w14:textId="77777777" w:rsidTr="00B63F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center"/>
          </w:tcPr>
          <w:p w14:paraId="7190E187" w14:textId="58E2E1C2" w:rsidR="00B63F11" w:rsidRPr="00443477" w:rsidRDefault="00B63F11" w:rsidP="00B63F11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43477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6/26/2019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8EB5B" w14:textId="12FBAF76" w:rsidR="00B63F11" w:rsidRPr="00443477" w:rsidRDefault="00B63F11" w:rsidP="00B63F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43477">
              <w:rPr>
                <w:rFonts w:ascii="Arial" w:hAnsi="Arial" w:cs="Arial"/>
                <w:color w:val="000000"/>
                <w:sz w:val="24"/>
                <w:szCs w:val="24"/>
              </w:rPr>
              <w:t>Algorithms, Artificial Intelligence &amp; Attorneys—The New Age for Financial Services Institutions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9F0E0" w14:textId="5C870F7E" w:rsidR="00B63F11" w:rsidRPr="00B63F11" w:rsidRDefault="00B63F11" w:rsidP="00B63F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63F11">
              <w:rPr>
                <w:rFonts w:ascii="Arial" w:hAnsi="Arial"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vAlign w:val="center"/>
          </w:tcPr>
          <w:p w14:paraId="5DFAB404" w14:textId="446A3582" w:rsidR="00B63F11" w:rsidRPr="00B63F11" w:rsidRDefault="00B63F11" w:rsidP="00B63F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63F11">
              <w:rPr>
                <w:rFonts w:ascii="Arial" w:hAnsi="Arial" w:cs="Arial"/>
                <w:color w:val="000000"/>
                <w:sz w:val="24"/>
                <w:szCs w:val="24"/>
              </w:rPr>
              <w:t>34</w:t>
            </w:r>
          </w:p>
        </w:tc>
      </w:tr>
      <w:tr w:rsidR="00443477" w:rsidRPr="00443477" w14:paraId="40B572C7" w14:textId="77777777" w:rsidTr="001F7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center"/>
          </w:tcPr>
          <w:p w14:paraId="365DA2A9" w14:textId="77777777" w:rsidR="00443477" w:rsidRPr="00443477" w:rsidRDefault="00443477" w:rsidP="001F7F62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443477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6/12/2019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5FC85" w14:textId="77777777" w:rsidR="00443477" w:rsidRPr="00443477" w:rsidRDefault="00443477" w:rsidP="001F7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3477">
              <w:rPr>
                <w:rFonts w:ascii="Arial" w:hAnsi="Arial" w:cs="Arial"/>
                <w:color w:val="000000"/>
                <w:sz w:val="24"/>
                <w:szCs w:val="24"/>
              </w:rPr>
              <w:t>EMEA: Brexit - Financial Services Update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4F254CF6" w14:textId="77777777" w:rsidR="00443477" w:rsidRPr="00443477" w:rsidRDefault="00443477" w:rsidP="001F7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3477">
              <w:rPr>
                <w:rFonts w:ascii="Arial" w:hAnsi="Arial" w:cs="Arial"/>
                <w:color w:val="000000"/>
                <w:sz w:val="24"/>
                <w:szCs w:val="24"/>
              </w:rPr>
              <w:t>EMEA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vAlign w:val="center"/>
          </w:tcPr>
          <w:p w14:paraId="6506609E" w14:textId="77777777" w:rsidR="00443477" w:rsidRPr="00443477" w:rsidRDefault="00443477" w:rsidP="001F7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3477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</w:tr>
      <w:tr w:rsidR="00443477" w:rsidRPr="0067416D" w14:paraId="12D053BF" w14:textId="77777777" w:rsidTr="00B63F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center"/>
          </w:tcPr>
          <w:p w14:paraId="1A43EFDF" w14:textId="399382CF" w:rsidR="00B63F11" w:rsidRPr="00443477" w:rsidRDefault="00B63F11" w:rsidP="00B63F11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43477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5/22/2019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5EECA" w14:textId="6B0E1D15" w:rsidR="00B63F11" w:rsidRPr="00443477" w:rsidRDefault="00B63F11" w:rsidP="00B63F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43477">
              <w:rPr>
                <w:rFonts w:ascii="Arial" w:hAnsi="Arial" w:cs="Arial"/>
                <w:color w:val="000000"/>
                <w:sz w:val="24"/>
                <w:szCs w:val="24"/>
              </w:rPr>
              <w:t>Financial Services Regulatory Update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69EBC" w14:textId="177E9F53" w:rsidR="00B63F11" w:rsidRPr="00B63F11" w:rsidRDefault="00B63F11" w:rsidP="00B63F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63F11">
              <w:rPr>
                <w:rFonts w:ascii="Arial" w:hAnsi="Arial"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vAlign w:val="center"/>
          </w:tcPr>
          <w:p w14:paraId="7AF48CF4" w14:textId="6FB2EDD2" w:rsidR="00B63F11" w:rsidRPr="00B63F11" w:rsidRDefault="00B63F11" w:rsidP="00B63F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63F11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</w:tr>
      <w:tr w:rsidR="00443477" w:rsidRPr="0067416D" w14:paraId="089E131F" w14:textId="77777777" w:rsidTr="00B63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center"/>
          </w:tcPr>
          <w:p w14:paraId="1DAB11D6" w14:textId="3E5A73BF" w:rsidR="00B63F11" w:rsidRPr="00443477" w:rsidRDefault="00B63F11" w:rsidP="00B63F11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43477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4/24/2019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8088C" w14:textId="2F1733F0" w:rsidR="00B63F11" w:rsidRPr="00443477" w:rsidRDefault="00B63F11" w:rsidP="00B63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43477">
              <w:rPr>
                <w:rFonts w:ascii="Arial" w:hAnsi="Arial" w:cs="Arial"/>
                <w:color w:val="000000"/>
                <w:sz w:val="24"/>
                <w:szCs w:val="24"/>
              </w:rPr>
              <w:t xml:space="preserve">New York’s </w:t>
            </w:r>
            <w:proofErr w:type="spellStart"/>
            <w:r w:rsidRPr="00443477">
              <w:rPr>
                <w:rFonts w:ascii="Arial" w:hAnsi="Arial" w:cs="Arial"/>
                <w:color w:val="000000"/>
                <w:sz w:val="24"/>
                <w:szCs w:val="24"/>
              </w:rPr>
              <w:t>BitLicense</w:t>
            </w:r>
            <w:proofErr w:type="spellEnd"/>
            <w:r w:rsidRPr="00443477">
              <w:rPr>
                <w:rFonts w:ascii="Arial" w:hAnsi="Arial" w:cs="Arial"/>
                <w:color w:val="000000"/>
                <w:sz w:val="24"/>
                <w:szCs w:val="24"/>
              </w:rPr>
              <w:t xml:space="preserve"> for Virtual Currency Business Activities – A Regulatory Perspective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CB979" w14:textId="283057F4" w:rsidR="00B63F11" w:rsidRPr="00B63F11" w:rsidRDefault="00B63F11" w:rsidP="00B63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63F11">
              <w:rPr>
                <w:rFonts w:ascii="Arial" w:hAnsi="Arial"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vAlign w:val="center"/>
          </w:tcPr>
          <w:p w14:paraId="10F45643" w14:textId="61AAF658" w:rsidR="00B63F11" w:rsidRPr="00B63F11" w:rsidRDefault="00B63F11" w:rsidP="00B63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63F1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443477" w:rsidRPr="0067416D" w14:paraId="09D4D966" w14:textId="77777777" w:rsidTr="00B63F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center"/>
          </w:tcPr>
          <w:p w14:paraId="33504A61" w14:textId="76B96B7A" w:rsidR="00B63F11" w:rsidRPr="00443477" w:rsidRDefault="00B63F11" w:rsidP="00B63F11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43477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3/27/2019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234F8" w14:textId="425D1B89" w:rsidR="00B63F11" w:rsidRPr="00443477" w:rsidRDefault="00B63F11" w:rsidP="00B63F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43477">
              <w:rPr>
                <w:rFonts w:ascii="Arial" w:hAnsi="Arial" w:cs="Arial"/>
                <w:color w:val="000000"/>
                <w:sz w:val="24"/>
                <w:szCs w:val="24"/>
              </w:rPr>
              <w:t>Data and Cybersecurity: A Review of the Hot Issues Confronting Financial Services Companies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6DDBE" w14:textId="08F6261F" w:rsidR="00B63F11" w:rsidRPr="00B63F11" w:rsidRDefault="00B63F11" w:rsidP="00B63F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63F11">
              <w:rPr>
                <w:rFonts w:ascii="Arial" w:hAnsi="Arial"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vAlign w:val="center"/>
          </w:tcPr>
          <w:p w14:paraId="41A59F16" w14:textId="66213473" w:rsidR="00B63F11" w:rsidRPr="00B63F11" w:rsidRDefault="00B63F11" w:rsidP="00B63F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63F11">
              <w:rPr>
                <w:rFonts w:ascii="Arial" w:hAnsi="Arial" w:cs="Arial"/>
                <w:color w:val="000000"/>
                <w:sz w:val="24"/>
                <w:szCs w:val="24"/>
              </w:rPr>
              <w:t>77</w:t>
            </w:r>
          </w:p>
        </w:tc>
      </w:tr>
      <w:tr w:rsidR="00443477" w:rsidRPr="0067416D" w14:paraId="65F01778" w14:textId="77777777" w:rsidTr="00B63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center"/>
          </w:tcPr>
          <w:p w14:paraId="45A4DFB1" w14:textId="22E5FAAB" w:rsidR="00B63F11" w:rsidRPr="00443477" w:rsidRDefault="00B63F11" w:rsidP="00B63F11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43477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2/27/2019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667A2" w14:textId="6BCE3242" w:rsidR="00B63F11" w:rsidRPr="00443477" w:rsidRDefault="00B63F11" w:rsidP="00B63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43477">
              <w:rPr>
                <w:rFonts w:ascii="Arial" w:hAnsi="Arial" w:cs="Arial"/>
                <w:color w:val="000000"/>
                <w:sz w:val="24"/>
                <w:szCs w:val="24"/>
              </w:rPr>
              <w:t>Practical Problems and Litigation Trends Under the FCRA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2A5FE" w14:textId="606AFA65" w:rsidR="00B63F11" w:rsidRPr="00B63F11" w:rsidRDefault="00B63F11" w:rsidP="00B63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63F11">
              <w:rPr>
                <w:rFonts w:ascii="Arial" w:hAnsi="Arial"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vAlign w:val="center"/>
          </w:tcPr>
          <w:p w14:paraId="7886C993" w14:textId="0314EE9B" w:rsidR="00B63F11" w:rsidRPr="00B63F11" w:rsidRDefault="00B63F11" w:rsidP="00B63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63F11"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</w:p>
        </w:tc>
      </w:tr>
      <w:tr w:rsidR="00443477" w:rsidRPr="0067416D" w14:paraId="742239CD" w14:textId="77777777" w:rsidTr="00B63F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center"/>
          </w:tcPr>
          <w:p w14:paraId="46C1353A" w14:textId="551251BA" w:rsidR="00B63F11" w:rsidRPr="00443477" w:rsidRDefault="00B63F11" w:rsidP="00B63F11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43477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1/23/2019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3DBB7" w14:textId="3AD626DD" w:rsidR="00B63F11" w:rsidRPr="00443477" w:rsidRDefault="00B63F11" w:rsidP="00B63F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43477">
              <w:rPr>
                <w:rFonts w:ascii="Arial" w:hAnsi="Arial" w:cs="Arial"/>
                <w:color w:val="000000"/>
                <w:sz w:val="24"/>
                <w:szCs w:val="24"/>
              </w:rPr>
              <w:t>FCPA, Anti-corruption, and Cybersecurity-Compliance and the Law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10007" w14:textId="449DB20B" w:rsidR="00B63F11" w:rsidRPr="00B63F11" w:rsidRDefault="00B63F11" w:rsidP="00B63F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63F11">
              <w:rPr>
                <w:rFonts w:ascii="Arial" w:hAnsi="Arial"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vAlign w:val="center"/>
          </w:tcPr>
          <w:p w14:paraId="185AF2D3" w14:textId="70C42DF4" w:rsidR="00B63F11" w:rsidRPr="00B63F11" w:rsidRDefault="00B63F11" w:rsidP="00B63F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63F11">
              <w:rPr>
                <w:rFonts w:ascii="Arial" w:hAnsi="Arial" w:cs="Arial"/>
                <w:color w:val="000000"/>
                <w:sz w:val="24"/>
                <w:szCs w:val="24"/>
              </w:rPr>
              <w:t>45</w:t>
            </w:r>
          </w:p>
        </w:tc>
      </w:tr>
      <w:tr w:rsidR="00443477" w:rsidRPr="0067416D" w14:paraId="0393D167" w14:textId="77777777" w:rsidTr="00B63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center"/>
          </w:tcPr>
          <w:p w14:paraId="601073AB" w14:textId="3123E14D" w:rsidR="00B63F11" w:rsidRPr="00443477" w:rsidRDefault="00B63F11" w:rsidP="00B63F11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43477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11/28/2018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24D3F" w14:textId="488723F5" w:rsidR="00B63F11" w:rsidRPr="00443477" w:rsidRDefault="00B63F11" w:rsidP="00B63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43477">
              <w:rPr>
                <w:rFonts w:ascii="Arial" w:hAnsi="Arial" w:cs="Arial"/>
                <w:color w:val="000000"/>
                <w:sz w:val="24"/>
                <w:szCs w:val="24"/>
              </w:rPr>
              <w:t>Fintech in 2018 (The Year in Review): Regulatory Developments from the FinTech Charter to the Recent FTC Orders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A59D5" w14:textId="037B57CF" w:rsidR="00B63F11" w:rsidRPr="00B63F11" w:rsidRDefault="00B63F11" w:rsidP="00B63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63F11">
              <w:rPr>
                <w:rFonts w:ascii="Arial" w:hAnsi="Arial"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vAlign w:val="center"/>
          </w:tcPr>
          <w:p w14:paraId="03E5023F" w14:textId="2DE43F98" w:rsidR="00B63F11" w:rsidRPr="00B63F11" w:rsidRDefault="00B63F11" w:rsidP="00B63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63F11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</w:tr>
    </w:tbl>
    <w:p w14:paraId="42AE0C20" w14:textId="77777777" w:rsidR="00402105" w:rsidRPr="00D216A4" w:rsidRDefault="00402105" w:rsidP="00402105">
      <w:pPr>
        <w:pStyle w:val="BodyText"/>
        <w:ind w:left="0"/>
        <w:rPr>
          <w:sz w:val="24"/>
          <w:szCs w:val="24"/>
        </w:rPr>
      </w:pPr>
    </w:p>
    <w:p w14:paraId="057E53BD" w14:textId="514EA8EB" w:rsidR="00C464F8" w:rsidRDefault="00F75D4E" w:rsidP="00915340">
      <w:pPr>
        <w:pStyle w:val="Heading1"/>
        <w:spacing w:after="0" w:line="240" w:lineRule="auto"/>
        <w:ind w:left="0"/>
        <w:rPr>
          <w:caps/>
          <w:sz w:val="24"/>
          <w:szCs w:val="24"/>
        </w:rPr>
      </w:pPr>
      <w:r w:rsidRPr="00023734">
        <w:rPr>
          <w:caps/>
          <w:sz w:val="24"/>
          <w:szCs w:val="24"/>
        </w:rPr>
        <w:t>201</w:t>
      </w:r>
      <w:r w:rsidR="009658FB">
        <w:rPr>
          <w:caps/>
          <w:sz w:val="24"/>
          <w:szCs w:val="24"/>
        </w:rPr>
        <w:t>7</w:t>
      </w:r>
      <w:r w:rsidR="00D94D7C">
        <w:rPr>
          <w:caps/>
          <w:sz w:val="24"/>
          <w:szCs w:val="24"/>
        </w:rPr>
        <w:t>-201</w:t>
      </w:r>
      <w:r w:rsidR="009658FB">
        <w:rPr>
          <w:caps/>
          <w:sz w:val="24"/>
          <w:szCs w:val="24"/>
        </w:rPr>
        <w:t>9</w:t>
      </w:r>
      <w:r w:rsidR="00402105" w:rsidRPr="00023734">
        <w:rPr>
          <w:caps/>
          <w:sz w:val="24"/>
          <w:szCs w:val="24"/>
        </w:rPr>
        <w:t xml:space="preserve"> </w:t>
      </w:r>
      <w:r w:rsidR="008C4423">
        <w:rPr>
          <w:caps/>
          <w:sz w:val="24"/>
          <w:szCs w:val="24"/>
        </w:rPr>
        <w:t xml:space="preserve">Popular </w:t>
      </w:r>
      <w:r w:rsidR="00B52750" w:rsidRPr="00023734">
        <w:rPr>
          <w:caps/>
          <w:sz w:val="24"/>
          <w:szCs w:val="24"/>
        </w:rPr>
        <w:t>F</w:t>
      </w:r>
      <w:r w:rsidR="0023173A">
        <w:rPr>
          <w:caps/>
          <w:sz w:val="24"/>
          <w:szCs w:val="24"/>
        </w:rPr>
        <w:t xml:space="preserve">inancial </w:t>
      </w:r>
      <w:r w:rsidR="00B52750" w:rsidRPr="00023734">
        <w:rPr>
          <w:caps/>
          <w:sz w:val="24"/>
          <w:szCs w:val="24"/>
        </w:rPr>
        <w:t>S</w:t>
      </w:r>
      <w:r w:rsidR="0023173A">
        <w:rPr>
          <w:caps/>
          <w:sz w:val="24"/>
          <w:szCs w:val="24"/>
        </w:rPr>
        <w:t xml:space="preserve">ervices </w:t>
      </w:r>
      <w:r w:rsidR="007776CA">
        <w:rPr>
          <w:caps/>
          <w:sz w:val="24"/>
          <w:szCs w:val="24"/>
        </w:rPr>
        <w:t>Network</w:t>
      </w:r>
      <w:r w:rsidR="008C4423">
        <w:rPr>
          <w:caps/>
          <w:sz w:val="24"/>
          <w:szCs w:val="24"/>
        </w:rPr>
        <w:t xml:space="preserve"> Legal ResourceS</w:t>
      </w:r>
    </w:p>
    <w:p w14:paraId="12673177" w14:textId="54483AEB" w:rsidR="00C464F8" w:rsidRDefault="00C464F8" w:rsidP="00915340">
      <w:pPr>
        <w:pStyle w:val="BodyText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(T</w:t>
      </w:r>
      <w:r w:rsidR="004E1CF8">
        <w:rPr>
          <w:sz w:val="24"/>
          <w:szCs w:val="24"/>
        </w:rPr>
        <w:t>he resources below include all resources during the period with 100 or more views)</w:t>
      </w:r>
    </w:p>
    <w:p w14:paraId="7B16C4A5" w14:textId="77777777" w:rsidR="00915340" w:rsidRPr="00C464F8" w:rsidRDefault="00915340" w:rsidP="00915340">
      <w:pPr>
        <w:pStyle w:val="BodyText"/>
        <w:spacing w:after="0" w:line="240" w:lineRule="auto"/>
        <w:ind w:left="0"/>
      </w:pPr>
    </w:p>
    <w:tbl>
      <w:tblPr>
        <w:tblStyle w:val="MediumShading1"/>
        <w:tblW w:w="9828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6" w:space="0" w:color="404040" w:themeColor="text1" w:themeTint="BF"/>
          <w:insideV w:val="single" w:sz="6" w:space="0" w:color="404040" w:themeColor="text1" w:themeTint="BF"/>
        </w:tblBorders>
        <w:tblLayout w:type="fixed"/>
        <w:tblLook w:val="04A0" w:firstRow="1" w:lastRow="0" w:firstColumn="1" w:lastColumn="0" w:noHBand="0" w:noVBand="1"/>
      </w:tblPr>
      <w:tblGrid>
        <w:gridCol w:w="6318"/>
        <w:gridCol w:w="1970"/>
        <w:gridCol w:w="1540"/>
      </w:tblGrid>
      <w:tr w:rsidR="009E7064" w:rsidRPr="00D216A4" w14:paraId="75D325E6" w14:textId="77777777" w:rsidTr="009E70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1E6270B" w14:textId="2B71F2B9" w:rsidR="009E7064" w:rsidRPr="00D216A4" w:rsidRDefault="009E7064" w:rsidP="008C4423">
            <w:pPr>
              <w:pStyle w:val="BodyText"/>
              <w:ind w:left="0"/>
              <w:rPr>
                <w:sz w:val="24"/>
                <w:szCs w:val="24"/>
              </w:rPr>
            </w:pPr>
            <w:r w:rsidRPr="00D216A4">
              <w:rPr>
                <w:sz w:val="24"/>
                <w:szCs w:val="24"/>
              </w:rPr>
              <w:t>Resource Title</w:t>
            </w:r>
          </w:p>
        </w:tc>
        <w:tc>
          <w:tcPr>
            <w:tcW w:w="19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574AFA2" w14:textId="48744A65" w:rsidR="009E7064" w:rsidRPr="00D216A4" w:rsidRDefault="009E7064" w:rsidP="008C4423">
            <w:pPr>
              <w:pStyle w:val="BodyTex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216A4">
              <w:rPr>
                <w:sz w:val="24"/>
                <w:szCs w:val="24"/>
              </w:rPr>
              <w:t>Resource Type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8829D23" w14:textId="796A7A66" w:rsidR="009E7064" w:rsidRPr="00D216A4" w:rsidRDefault="009E7064" w:rsidP="008C4423">
            <w:pPr>
              <w:pStyle w:val="BodyText"/>
              <w:ind w:left="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216A4">
              <w:rPr>
                <w:sz w:val="24"/>
                <w:szCs w:val="24"/>
              </w:rPr>
              <w:t>Views</w:t>
            </w:r>
          </w:p>
        </w:tc>
      </w:tr>
      <w:tr w:rsidR="00443477" w:rsidRPr="009E7064" w14:paraId="6856492C" w14:textId="77777777" w:rsidTr="00A856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tcBorders>
              <w:bottom w:val="single" w:sz="4" w:space="0" w:color="auto"/>
            </w:tcBorders>
            <w:vAlign w:val="center"/>
          </w:tcPr>
          <w:p w14:paraId="3AD0D0CD" w14:textId="1064623B" w:rsidR="00443477" w:rsidRDefault="00443477" w:rsidP="004434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-20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14:paraId="77E70E27" w14:textId="77777777" w:rsidR="00443477" w:rsidRPr="009E7064" w:rsidRDefault="00443477" w:rsidP="00443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14:paraId="7616EB85" w14:textId="77777777" w:rsidR="00443477" w:rsidRPr="009E7064" w:rsidRDefault="00443477" w:rsidP="00443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43477" w:rsidRPr="009E7064" w14:paraId="75F5A027" w14:textId="77777777" w:rsidTr="00A856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tcBorders>
              <w:bottom w:val="single" w:sz="4" w:space="0" w:color="auto"/>
            </w:tcBorders>
            <w:vAlign w:val="center"/>
          </w:tcPr>
          <w:p w14:paraId="51420090" w14:textId="09DADBCA" w:rsidR="00443477" w:rsidRDefault="00443477" w:rsidP="004434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No Resources Submitted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14:paraId="6C1C7D82" w14:textId="77777777" w:rsidR="00443477" w:rsidRPr="009E7064" w:rsidRDefault="00443477" w:rsidP="004434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14:paraId="1C07E555" w14:textId="77777777" w:rsidR="00443477" w:rsidRPr="009E7064" w:rsidRDefault="00443477" w:rsidP="004434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43477" w:rsidRPr="009E7064" w14:paraId="7A7A9F35" w14:textId="77777777" w:rsidTr="00A856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tcBorders>
              <w:bottom w:val="single" w:sz="4" w:space="0" w:color="auto"/>
            </w:tcBorders>
            <w:vAlign w:val="center"/>
          </w:tcPr>
          <w:p w14:paraId="7453797E" w14:textId="068A865C" w:rsidR="00443477" w:rsidRDefault="00443477" w:rsidP="004434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2018-2019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14:paraId="4168C24C" w14:textId="77777777" w:rsidR="00443477" w:rsidRPr="009E7064" w:rsidRDefault="00443477" w:rsidP="00443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14:paraId="6AF2AA42" w14:textId="77777777" w:rsidR="00443477" w:rsidRPr="009E7064" w:rsidRDefault="00443477" w:rsidP="00443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43477" w:rsidRPr="009E7064" w14:paraId="042586D8" w14:textId="77777777" w:rsidTr="00A856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tcBorders>
              <w:bottom w:val="single" w:sz="4" w:space="0" w:color="auto"/>
            </w:tcBorders>
            <w:vAlign w:val="center"/>
          </w:tcPr>
          <w:p w14:paraId="75E73020" w14:textId="0726248F" w:rsidR="00443477" w:rsidRPr="009658FB" w:rsidRDefault="00443477" w:rsidP="00443477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No Resources Submitted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14:paraId="412E3A1B" w14:textId="77777777" w:rsidR="00443477" w:rsidRPr="009E7064" w:rsidRDefault="00443477" w:rsidP="004434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14:paraId="2577E8AA" w14:textId="77777777" w:rsidR="00443477" w:rsidRPr="009E7064" w:rsidRDefault="00443477" w:rsidP="004434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43477" w:rsidRPr="009E7064" w14:paraId="72E30FCF" w14:textId="77777777" w:rsidTr="00A856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tcBorders>
              <w:bottom w:val="single" w:sz="4" w:space="0" w:color="auto"/>
            </w:tcBorders>
            <w:vAlign w:val="center"/>
          </w:tcPr>
          <w:p w14:paraId="513D3634" w14:textId="2F5CE6B2" w:rsidR="00443477" w:rsidRDefault="00443477" w:rsidP="004434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2017-2018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14:paraId="34554773" w14:textId="77777777" w:rsidR="00443477" w:rsidRPr="009E7064" w:rsidRDefault="00443477" w:rsidP="00443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14:paraId="46A2E975" w14:textId="77777777" w:rsidR="00443477" w:rsidRPr="009E7064" w:rsidRDefault="00443477" w:rsidP="00443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43477" w:rsidRPr="009E7064" w14:paraId="1E40AEEA" w14:textId="77777777" w:rsidTr="00A856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A272" w14:textId="2B36A406" w:rsidR="00443477" w:rsidRPr="00A856AF" w:rsidRDefault="00443477" w:rsidP="004434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to Do When You Can’t Comply Foreign Sovereign Compulsion as a Potential Defense to Conflicts between US Discovery Obligations and the GDPR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D372" w14:textId="18B84A50" w:rsidR="00443477" w:rsidRDefault="00443477" w:rsidP="004434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QuickCounsel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82C6" w14:textId="6A3F47F4" w:rsidR="00443477" w:rsidRDefault="00443477" w:rsidP="004434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89</w:t>
            </w:r>
          </w:p>
        </w:tc>
      </w:tr>
      <w:tr w:rsidR="00443477" w:rsidRPr="009E7064" w14:paraId="3083493C" w14:textId="77777777" w:rsidTr="00A856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B08F" w14:textId="346C46E2" w:rsidR="00443477" w:rsidRPr="00A856AF" w:rsidRDefault="00443477" w:rsidP="00443477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A856AF">
              <w:rPr>
                <w:rFonts w:ascii="Arial" w:hAnsi="Arial" w:cs="Arial"/>
                <w:b w:val="0"/>
                <w:sz w:val="24"/>
                <w:szCs w:val="24"/>
              </w:rPr>
              <w:t>Ten Tips to Avoid Needless Conflict with a Former Employee Witness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44F9" w14:textId="2E25F28C" w:rsidR="00443477" w:rsidRPr="009E7064" w:rsidRDefault="00443477" w:rsidP="00443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Top Ten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FB4B" w14:textId="00D6B629" w:rsidR="00443477" w:rsidRPr="009E7064" w:rsidRDefault="00443477" w:rsidP="00443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190</w:t>
            </w:r>
          </w:p>
        </w:tc>
      </w:tr>
    </w:tbl>
    <w:p w14:paraId="761267F1" w14:textId="77777777" w:rsidR="00402105" w:rsidRPr="00D216A4" w:rsidRDefault="00402105" w:rsidP="00402105">
      <w:pPr>
        <w:pStyle w:val="BodyText"/>
        <w:ind w:left="0"/>
        <w:rPr>
          <w:sz w:val="24"/>
          <w:szCs w:val="24"/>
        </w:rPr>
      </w:pPr>
    </w:p>
    <w:p w14:paraId="23F6B891" w14:textId="77777777" w:rsidR="00443477" w:rsidRDefault="00443477" w:rsidP="00915340">
      <w:pPr>
        <w:pStyle w:val="Heading1"/>
        <w:spacing w:after="0" w:line="240" w:lineRule="auto"/>
        <w:ind w:left="0"/>
        <w:rPr>
          <w:caps/>
          <w:sz w:val="24"/>
          <w:szCs w:val="24"/>
        </w:rPr>
      </w:pPr>
    </w:p>
    <w:p w14:paraId="3B2A6DEE" w14:textId="3C1F9DD5" w:rsidR="00402105" w:rsidRDefault="00402105" w:rsidP="00915340">
      <w:pPr>
        <w:pStyle w:val="Heading1"/>
        <w:spacing w:after="0" w:line="240" w:lineRule="auto"/>
        <w:ind w:left="0"/>
        <w:rPr>
          <w:caps/>
          <w:sz w:val="24"/>
          <w:szCs w:val="24"/>
        </w:rPr>
      </w:pPr>
      <w:r w:rsidRPr="00023734">
        <w:rPr>
          <w:caps/>
          <w:sz w:val="24"/>
          <w:szCs w:val="24"/>
        </w:rPr>
        <w:t xml:space="preserve">Popular </w:t>
      </w:r>
      <w:r w:rsidR="00800C78" w:rsidRPr="00023734">
        <w:rPr>
          <w:caps/>
          <w:sz w:val="24"/>
          <w:szCs w:val="24"/>
        </w:rPr>
        <w:t>F</w:t>
      </w:r>
      <w:r w:rsidR="008F64AE">
        <w:rPr>
          <w:caps/>
          <w:sz w:val="24"/>
          <w:szCs w:val="24"/>
        </w:rPr>
        <w:t xml:space="preserve">inancial </w:t>
      </w:r>
      <w:r w:rsidR="00800C78" w:rsidRPr="00023734">
        <w:rPr>
          <w:caps/>
          <w:sz w:val="24"/>
          <w:szCs w:val="24"/>
        </w:rPr>
        <w:t>S</w:t>
      </w:r>
      <w:r w:rsidR="008F64AE">
        <w:rPr>
          <w:caps/>
          <w:sz w:val="24"/>
          <w:szCs w:val="24"/>
        </w:rPr>
        <w:t xml:space="preserve">ervices </w:t>
      </w:r>
      <w:r w:rsidR="007776CA">
        <w:rPr>
          <w:caps/>
          <w:sz w:val="24"/>
          <w:szCs w:val="24"/>
        </w:rPr>
        <w:t>Network</w:t>
      </w:r>
      <w:r w:rsidRPr="00023734">
        <w:rPr>
          <w:caps/>
          <w:sz w:val="24"/>
          <w:szCs w:val="24"/>
        </w:rPr>
        <w:t xml:space="preserve"> eGroup Discussion Topics</w:t>
      </w:r>
    </w:p>
    <w:p w14:paraId="1CB5B5B9" w14:textId="7DFB4A14" w:rsidR="00915340" w:rsidRDefault="00915340" w:rsidP="008E510F">
      <w:pPr>
        <w:pStyle w:val="BodyText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(The topics below include all substantive </w:t>
      </w:r>
      <w:proofErr w:type="spellStart"/>
      <w:r>
        <w:rPr>
          <w:sz w:val="24"/>
          <w:szCs w:val="24"/>
        </w:rPr>
        <w:t>eGroup</w:t>
      </w:r>
      <w:proofErr w:type="spellEnd"/>
      <w:r>
        <w:rPr>
          <w:sz w:val="24"/>
          <w:szCs w:val="24"/>
        </w:rPr>
        <w:t xml:space="preserve"> disc</w:t>
      </w:r>
      <w:r w:rsidR="001C0F7E">
        <w:rPr>
          <w:sz w:val="24"/>
          <w:szCs w:val="24"/>
        </w:rPr>
        <w:t>ussions during the period with 5</w:t>
      </w:r>
      <w:r>
        <w:rPr>
          <w:sz w:val="24"/>
          <w:szCs w:val="24"/>
        </w:rPr>
        <w:t xml:space="preserve"> or more replies)</w:t>
      </w:r>
    </w:p>
    <w:p w14:paraId="2C55DBED" w14:textId="74E2D3E8" w:rsidR="00443477" w:rsidRDefault="00443477" w:rsidP="008E510F">
      <w:pPr>
        <w:pStyle w:val="BodyText"/>
        <w:spacing w:after="0" w:line="240" w:lineRule="auto"/>
        <w:ind w:left="0"/>
        <w:rPr>
          <w:sz w:val="24"/>
          <w:szCs w:val="24"/>
        </w:rPr>
      </w:pPr>
    </w:p>
    <w:p w14:paraId="3CE8700E" w14:textId="77777777" w:rsidR="00443477" w:rsidRDefault="00443477" w:rsidP="008E510F">
      <w:pPr>
        <w:pStyle w:val="BodyText"/>
        <w:spacing w:after="0" w:line="240" w:lineRule="auto"/>
        <w:ind w:left="0"/>
        <w:rPr>
          <w:sz w:val="24"/>
          <w:szCs w:val="24"/>
        </w:rPr>
      </w:pPr>
    </w:p>
    <w:p w14:paraId="23E54FCF" w14:textId="77777777" w:rsidR="008E510F" w:rsidRPr="008E510F" w:rsidRDefault="008E510F" w:rsidP="008E510F">
      <w:pPr>
        <w:pStyle w:val="BodyText"/>
        <w:spacing w:after="0" w:line="240" w:lineRule="auto"/>
        <w:ind w:left="0"/>
        <w:rPr>
          <w:sz w:val="24"/>
          <w:szCs w:val="24"/>
        </w:rPr>
      </w:pPr>
    </w:p>
    <w:tbl>
      <w:tblPr>
        <w:tblStyle w:val="MediumShading1"/>
        <w:tblW w:w="10080" w:type="dxa"/>
        <w:tblInd w:w="-25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8712"/>
      </w:tblGrid>
      <w:tr w:rsidR="00441137" w14:paraId="1A0AE476" w14:textId="77777777" w:rsidTr="004411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bottom w:val="single" w:sz="4" w:space="0" w:color="auto"/>
            </w:tcBorders>
            <w:vAlign w:val="center"/>
          </w:tcPr>
          <w:p w14:paraId="0870EBAE" w14:textId="6C3E285F" w:rsidR="00441137" w:rsidRDefault="00441137" w:rsidP="00441137">
            <w:pPr>
              <w:pStyle w:val="BodyTex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Date</w:t>
            </w:r>
          </w:p>
        </w:tc>
        <w:tc>
          <w:tcPr>
            <w:tcW w:w="8712" w:type="dxa"/>
            <w:tcBorders>
              <w:bottom w:val="single" w:sz="4" w:space="0" w:color="auto"/>
            </w:tcBorders>
            <w:vAlign w:val="center"/>
          </w:tcPr>
          <w:p w14:paraId="6F0E1BDE" w14:textId="37B672B6" w:rsidR="00441137" w:rsidRDefault="00441137" w:rsidP="00441137">
            <w:pPr>
              <w:pStyle w:val="Body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Subject</w:t>
            </w:r>
          </w:p>
        </w:tc>
      </w:tr>
      <w:tr w:rsidR="00441137" w:rsidRPr="00800C78" w14:paraId="13A9BD4B" w14:textId="77777777" w:rsidTr="00441137">
        <w:tblPrEx>
          <w:tblBorders>
            <w:top w:val="single" w:sz="8" w:space="0" w:color="404040" w:themeColor="text1" w:themeTint="BF"/>
            <w:left w:val="single" w:sz="8" w:space="0" w:color="404040" w:themeColor="text1" w:themeTint="BF"/>
            <w:bottom w:val="single" w:sz="8" w:space="0" w:color="404040" w:themeColor="text1" w:themeTint="BF"/>
            <w:right w:val="single" w:sz="8" w:space="0" w:color="404040" w:themeColor="text1" w:themeTint="BF"/>
            <w:insideH w:val="single" w:sz="8" w:space="0" w:color="404040" w:themeColor="text1" w:themeTint="BF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1FB5BB" w14:textId="391CEC8F" w:rsidR="00441137" w:rsidRDefault="00441137" w:rsidP="00441137">
            <w:pPr>
              <w:jc w:val="center"/>
              <w:rPr>
                <w:rFonts w:ascii="Arial" w:hAnsi="Arial" w:cs="Arial"/>
                <w:color w:val="2E2E2E"/>
                <w:sz w:val="24"/>
                <w:szCs w:val="24"/>
              </w:rPr>
            </w:pPr>
            <w:r>
              <w:rPr>
                <w:rFonts w:ascii="Arial" w:hAnsi="Arial" w:cs="Arial"/>
                <w:color w:val="2E2E2E"/>
                <w:sz w:val="24"/>
                <w:szCs w:val="24"/>
              </w:rPr>
              <w:t>2018-20</w:t>
            </w:r>
            <w:r w:rsidR="00443477">
              <w:rPr>
                <w:rFonts w:ascii="Arial" w:hAnsi="Arial" w:cs="Arial"/>
                <w:color w:val="2E2E2E"/>
                <w:sz w:val="24"/>
                <w:szCs w:val="24"/>
              </w:rPr>
              <w:t>20</w:t>
            </w:r>
          </w:p>
        </w:tc>
        <w:tc>
          <w:tcPr>
            <w:tcW w:w="871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F8BA857" w14:textId="77777777" w:rsidR="00441137" w:rsidRPr="006D316A" w:rsidRDefault="00441137" w:rsidP="00441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62626"/>
                <w:sz w:val="24"/>
                <w:szCs w:val="24"/>
              </w:rPr>
            </w:pPr>
          </w:p>
        </w:tc>
      </w:tr>
      <w:tr w:rsidR="00441137" w:rsidRPr="00800C78" w14:paraId="4AB34B0F" w14:textId="77777777" w:rsidTr="00441137">
        <w:tblPrEx>
          <w:tblBorders>
            <w:top w:val="single" w:sz="8" w:space="0" w:color="404040" w:themeColor="text1" w:themeTint="BF"/>
            <w:left w:val="single" w:sz="8" w:space="0" w:color="404040" w:themeColor="text1" w:themeTint="BF"/>
            <w:bottom w:val="single" w:sz="8" w:space="0" w:color="404040" w:themeColor="text1" w:themeTint="BF"/>
            <w:right w:val="single" w:sz="8" w:space="0" w:color="404040" w:themeColor="text1" w:themeTint="BF"/>
            <w:insideH w:val="single" w:sz="8" w:space="0" w:color="404040" w:themeColor="text1" w:themeTint="BF"/>
            <w:insideV w:val="none" w:sz="0" w:space="0" w:color="auto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C957" w14:textId="1767F0F3" w:rsidR="00441137" w:rsidRPr="00684005" w:rsidRDefault="00441137" w:rsidP="00441137">
            <w:pPr>
              <w:jc w:val="center"/>
              <w:rPr>
                <w:rFonts w:ascii="Arial" w:hAnsi="Arial" w:cs="Arial"/>
                <w:b w:val="0"/>
                <w:color w:val="2E2E2E"/>
                <w:sz w:val="24"/>
                <w:szCs w:val="24"/>
              </w:rPr>
            </w:pPr>
            <w:r>
              <w:rPr>
                <w:rFonts w:ascii="Arial" w:hAnsi="Arial" w:cs="Arial"/>
                <w:color w:val="2E2E2E"/>
              </w:rPr>
              <w:t>12/10/2018</w:t>
            </w: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3D62A" w14:textId="75C9CEE0" w:rsidR="00441137" w:rsidRPr="00684005" w:rsidRDefault="00BE15CD" w:rsidP="004411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hyperlink r:id="rId8" w:history="1">
              <w:r w:rsidR="00441137">
                <w:rPr>
                  <w:rStyle w:val="Hyperlink"/>
                  <w:rFonts w:ascii="Arial" w:hAnsi="Arial" w:cs="Arial"/>
                  <w:color w:val="1E90FF"/>
                </w:rPr>
                <w:t>domesticating a judgment in FL</w:t>
              </w:r>
            </w:hyperlink>
          </w:p>
        </w:tc>
      </w:tr>
      <w:tr w:rsidR="00441137" w:rsidRPr="00800C78" w14:paraId="0BC435B2" w14:textId="77777777" w:rsidTr="00441137">
        <w:tblPrEx>
          <w:tblBorders>
            <w:top w:val="single" w:sz="8" w:space="0" w:color="404040" w:themeColor="text1" w:themeTint="BF"/>
            <w:left w:val="single" w:sz="8" w:space="0" w:color="404040" w:themeColor="text1" w:themeTint="BF"/>
            <w:bottom w:val="single" w:sz="8" w:space="0" w:color="404040" w:themeColor="text1" w:themeTint="BF"/>
            <w:right w:val="single" w:sz="8" w:space="0" w:color="404040" w:themeColor="text1" w:themeTint="BF"/>
            <w:insideH w:val="single" w:sz="8" w:space="0" w:color="404040" w:themeColor="text1" w:themeTint="BF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645A" w14:textId="0F8F6558" w:rsidR="00441137" w:rsidRPr="00684005" w:rsidRDefault="00441137" w:rsidP="00441137">
            <w:pPr>
              <w:jc w:val="center"/>
              <w:rPr>
                <w:rFonts w:ascii="Arial" w:hAnsi="Arial" w:cs="Arial"/>
                <w:b w:val="0"/>
                <w:color w:val="2E2E2E"/>
                <w:sz w:val="24"/>
                <w:szCs w:val="24"/>
              </w:rPr>
            </w:pPr>
            <w:r>
              <w:rPr>
                <w:rFonts w:ascii="Arial" w:hAnsi="Arial" w:cs="Arial"/>
                <w:color w:val="2E2E2E"/>
              </w:rPr>
              <w:t>5/15/2019</w:t>
            </w: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DABBC" w14:textId="3AA3D37E" w:rsidR="00441137" w:rsidRPr="00684005" w:rsidRDefault="00BE15CD" w:rsidP="00441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hyperlink r:id="rId9" w:history="1">
              <w:r w:rsidR="00441137">
                <w:rPr>
                  <w:rStyle w:val="Hyperlink"/>
                  <w:rFonts w:ascii="Arial" w:hAnsi="Arial" w:cs="Arial"/>
                  <w:color w:val="1E90FF"/>
                </w:rPr>
                <w:t>Insurance Coverage Counsel</w:t>
              </w:r>
            </w:hyperlink>
          </w:p>
        </w:tc>
      </w:tr>
      <w:tr w:rsidR="00441137" w:rsidRPr="00800C78" w14:paraId="43E10DA3" w14:textId="77777777" w:rsidTr="00441137">
        <w:tblPrEx>
          <w:tblBorders>
            <w:top w:val="single" w:sz="8" w:space="0" w:color="404040" w:themeColor="text1" w:themeTint="BF"/>
            <w:left w:val="single" w:sz="8" w:space="0" w:color="404040" w:themeColor="text1" w:themeTint="BF"/>
            <w:bottom w:val="single" w:sz="8" w:space="0" w:color="404040" w:themeColor="text1" w:themeTint="BF"/>
            <w:right w:val="single" w:sz="8" w:space="0" w:color="404040" w:themeColor="text1" w:themeTint="BF"/>
            <w:insideH w:val="single" w:sz="8" w:space="0" w:color="404040" w:themeColor="text1" w:themeTint="BF"/>
            <w:insideV w:val="none" w:sz="0" w:space="0" w:color="auto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9B86" w14:textId="15A9D4A6" w:rsidR="00441137" w:rsidRPr="00684005" w:rsidRDefault="00441137" w:rsidP="00441137">
            <w:pPr>
              <w:jc w:val="center"/>
              <w:rPr>
                <w:rFonts w:ascii="Arial" w:hAnsi="Arial" w:cs="Arial"/>
                <w:b w:val="0"/>
                <w:color w:val="2E2E2E"/>
                <w:sz w:val="24"/>
                <w:szCs w:val="24"/>
              </w:rPr>
            </w:pPr>
            <w:r>
              <w:rPr>
                <w:rFonts w:ascii="Arial" w:hAnsi="Arial" w:cs="Arial"/>
                <w:color w:val="2E2E2E"/>
              </w:rPr>
              <w:t>9/11/2019</w:t>
            </w: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71D72" w14:textId="1EF11DA1" w:rsidR="00441137" w:rsidRPr="00684005" w:rsidRDefault="00BE15CD" w:rsidP="004411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hyperlink r:id="rId10" w:history="1">
              <w:r w:rsidR="00441137">
                <w:rPr>
                  <w:rStyle w:val="Hyperlink"/>
                  <w:rFonts w:ascii="Arial" w:hAnsi="Arial" w:cs="Arial"/>
                  <w:color w:val="1E90FF"/>
                </w:rPr>
                <w:t>Referral Needed - State Money Transmitter Laws</w:t>
              </w:r>
            </w:hyperlink>
          </w:p>
        </w:tc>
      </w:tr>
      <w:tr w:rsidR="00441137" w:rsidRPr="00800C78" w14:paraId="701D66F3" w14:textId="77777777" w:rsidTr="00441137">
        <w:tblPrEx>
          <w:tblBorders>
            <w:top w:val="single" w:sz="8" w:space="0" w:color="404040" w:themeColor="text1" w:themeTint="BF"/>
            <w:left w:val="single" w:sz="8" w:space="0" w:color="404040" w:themeColor="text1" w:themeTint="BF"/>
            <w:bottom w:val="single" w:sz="8" w:space="0" w:color="404040" w:themeColor="text1" w:themeTint="BF"/>
            <w:right w:val="single" w:sz="8" w:space="0" w:color="404040" w:themeColor="text1" w:themeTint="BF"/>
            <w:insideH w:val="single" w:sz="8" w:space="0" w:color="404040" w:themeColor="text1" w:themeTint="BF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EC80" w14:textId="5FABA0C1" w:rsidR="00441137" w:rsidRPr="00684005" w:rsidRDefault="00441137" w:rsidP="00441137">
            <w:pPr>
              <w:jc w:val="center"/>
              <w:rPr>
                <w:rFonts w:ascii="Arial" w:hAnsi="Arial" w:cs="Arial"/>
                <w:b w:val="0"/>
                <w:color w:val="2E2E2E"/>
                <w:sz w:val="24"/>
                <w:szCs w:val="24"/>
              </w:rPr>
            </w:pPr>
            <w:r>
              <w:rPr>
                <w:rFonts w:ascii="Arial" w:hAnsi="Arial" w:cs="Arial"/>
                <w:color w:val="2E2E2E"/>
              </w:rPr>
              <w:t>11/29/2018</w:t>
            </w: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1AC84" w14:textId="62149570" w:rsidR="00441137" w:rsidRPr="00684005" w:rsidRDefault="00BE15CD" w:rsidP="00441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hyperlink r:id="rId11" w:history="1">
              <w:r w:rsidR="00441137">
                <w:rPr>
                  <w:rStyle w:val="Hyperlink"/>
                  <w:rFonts w:ascii="Arial" w:hAnsi="Arial" w:cs="Arial"/>
                  <w:color w:val="1E90FF"/>
                </w:rPr>
                <w:t>Recommendations for MA Corporate Governance Counsel</w:t>
              </w:r>
            </w:hyperlink>
          </w:p>
        </w:tc>
      </w:tr>
      <w:tr w:rsidR="00441137" w:rsidRPr="00800C78" w14:paraId="02772854" w14:textId="77777777" w:rsidTr="00441137">
        <w:tblPrEx>
          <w:tblBorders>
            <w:top w:val="single" w:sz="8" w:space="0" w:color="404040" w:themeColor="text1" w:themeTint="BF"/>
            <w:left w:val="single" w:sz="8" w:space="0" w:color="404040" w:themeColor="text1" w:themeTint="BF"/>
            <w:bottom w:val="single" w:sz="8" w:space="0" w:color="404040" w:themeColor="text1" w:themeTint="BF"/>
            <w:right w:val="single" w:sz="8" w:space="0" w:color="404040" w:themeColor="text1" w:themeTint="BF"/>
            <w:insideH w:val="single" w:sz="8" w:space="0" w:color="404040" w:themeColor="text1" w:themeTint="BF"/>
            <w:insideV w:val="none" w:sz="0" w:space="0" w:color="auto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2FF6" w14:textId="3B1AB835" w:rsidR="00441137" w:rsidRPr="00684005" w:rsidRDefault="00441137" w:rsidP="00441137">
            <w:pPr>
              <w:jc w:val="center"/>
              <w:rPr>
                <w:rFonts w:ascii="Arial" w:hAnsi="Arial" w:cs="Arial"/>
                <w:b w:val="0"/>
                <w:color w:val="2E2E2E"/>
                <w:sz w:val="24"/>
                <w:szCs w:val="24"/>
              </w:rPr>
            </w:pPr>
            <w:r>
              <w:rPr>
                <w:rFonts w:ascii="Arial" w:hAnsi="Arial" w:cs="Arial"/>
                <w:color w:val="2E2E2E"/>
              </w:rPr>
              <w:t>3/23/2019</w:t>
            </w: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39DC6" w14:textId="6E486748" w:rsidR="00441137" w:rsidRPr="00684005" w:rsidRDefault="00BE15CD" w:rsidP="004411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hyperlink r:id="rId12" w:history="1">
              <w:r w:rsidR="00441137">
                <w:rPr>
                  <w:rStyle w:val="Hyperlink"/>
                  <w:rFonts w:ascii="Arial" w:hAnsi="Arial" w:cs="Arial"/>
                  <w:color w:val="1E90FF"/>
                </w:rPr>
                <w:t>CCPA</w:t>
              </w:r>
            </w:hyperlink>
          </w:p>
        </w:tc>
      </w:tr>
      <w:tr w:rsidR="00441137" w:rsidRPr="00800C78" w14:paraId="0E7C28FF" w14:textId="77777777" w:rsidTr="00441137">
        <w:tblPrEx>
          <w:tblBorders>
            <w:top w:val="single" w:sz="8" w:space="0" w:color="404040" w:themeColor="text1" w:themeTint="BF"/>
            <w:left w:val="single" w:sz="8" w:space="0" w:color="404040" w:themeColor="text1" w:themeTint="BF"/>
            <w:bottom w:val="single" w:sz="8" w:space="0" w:color="404040" w:themeColor="text1" w:themeTint="BF"/>
            <w:right w:val="single" w:sz="8" w:space="0" w:color="404040" w:themeColor="text1" w:themeTint="BF"/>
            <w:insideH w:val="single" w:sz="8" w:space="0" w:color="404040" w:themeColor="text1" w:themeTint="BF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3420" w14:textId="5B885FA8" w:rsidR="00441137" w:rsidRPr="00684005" w:rsidRDefault="00441137" w:rsidP="00441137">
            <w:pPr>
              <w:jc w:val="center"/>
              <w:rPr>
                <w:rFonts w:ascii="Arial" w:hAnsi="Arial" w:cs="Arial"/>
                <w:b w:val="0"/>
                <w:color w:val="2E2E2E"/>
                <w:sz w:val="24"/>
                <w:szCs w:val="24"/>
              </w:rPr>
            </w:pPr>
            <w:r>
              <w:rPr>
                <w:rFonts w:ascii="Arial" w:hAnsi="Arial" w:cs="Arial"/>
                <w:color w:val="2E2E2E"/>
              </w:rPr>
              <w:t>4/29/2019</w:t>
            </w: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78BC9" w14:textId="0D22FEA4" w:rsidR="00441137" w:rsidRPr="00684005" w:rsidRDefault="00BE15CD" w:rsidP="00441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hyperlink r:id="rId13" w:history="1">
              <w:r w:rsidR="00441137">
                <w:rPr>
                  <w:rStyle w:val="Hyperlink"/>
                  <w:rFonts w:ascii="Arial" w:hAnsi="Arial" w:cs="Arial"/>
                  <w:color w:val="1E90FF"/>
                </w:rPr>
                <w:t>Outside Counsel Recommendation in Florida</w:t>
              </w:r>
            </w:hyperlink>
          </w:p>
        </w:tc>
      </w:tr>
      <w:tr w:rsidR="00441137" w:rsidRPr="00800C78" w14:paraId="06A496E5" w14:textId="77777777" w:rsidTr="00441137">
        <w:tblPrEx>
          <w:tblBorders>
            <w:top w:val="single" w:sz="8" w:space="0" w:color="404040" w:themeColor="text1" w:themeTint="BF"/>
            <w:left w:val="single" w:sz="8" w:space="0" w:color="404040" w:themeColor="text1" w:themeTint="BF"/>
            <w:bottom w:val="single" w:sz="8" w:space="0" w:color="404040" w:themeColor="text1" w:themeTint="BF"/>
            <w:right w:val="single" w:sz="8" w:space="0" w:color="404040" w:themeColor="text1" w:themeTint="BF"/>
            <w:insideH w:val="single" w:sz="8" w:space="0" w:color="404040" w:themeColor="text1" w:themeTint="BF"/>
            <w:insideV w:val="none" w:sz="0" w:space="0" w:color="auto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4136" w14:textId="276E0BE8" w:rsidR="00441137" w:rsidRPr="00684005" w:rsidRDefault="00441137" w:rsidP="00441137">
            <w:pPr>
              <w:jc w:val="center"/>
              <w:rPr>
                <w:rFonts w:ascii="Arial" w:hAnsi="Arial" w:cs="Arial"/>
                <w:b w:val="0"/>
                <w:color w:val="2E2E2E"/>
                <w:sz w:val="24"/>
                <w:szCs w:val="24"/>
              </w:rPr>
            </w:pPr>
            <w:r>
              <w:rPr>
                <w:rFonts w:ascii="Arial" w:hAnsi="Arial" w:cs="Arial"/>
                <w:color w:val="2E2E2E"/>
              </w:rPr>
              <w:t>8/5/2019</w:t>
            </w: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F86D1" w14:textId="73F03019" w:rsidR="00441137" w:rsidRPr="00684005" w:rsidRDefault="00BE15CD" w:rsidP="004411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hyperlink r:id="rId14" w:history="1">
              <w:r w:rsidR="00441137">
                <w:rPr>
                  <w:rStyle w:val="Hyperlink"/>
                  <w:rFonts w:ascii="Arial" w:hAnsi="Arial" w:cs="Arial"/>
                  <w:color w:val="1E90FF"/>
                </w:rPr>
                <w:t>Fintech Law Firm</w:t>
              </w:r>
            </w:hyperlink>
          </w:p>
        </w:tc>
      </w:tr>
      <w:tr w:rsidR="00441137" w:rsidRPr="00800C78" w14:paraId="62CE51C9" w14:textId="77777777" w:rsidTr="00441137">
        <w:tblPrEx>
          <w:tblBorders>
            <w:top w:val="single" w:sz="8" w:space="0" w:color="404040" w:themeColor="text1" w:themeTint="BF"/>
            <w:left w:val="single" w:sz="8" w:space="0" w:color="404040" w:themeColor="text1" w:themeTint="BF"/>
            <w:bottom w:val="single" w:sz="8" w:space="0" w:color="404040" w:themeColor="text1" w:themeTint="BF"/>
            <w:right w:val="single" w:sz="8" w:space="0" w:color="404040" w:themeColor="text1" w:themeTint="BF"/>
            <w:insideH w:val="single" w:sz="8" w:space="0" w:color="404040" w:themeColor="text1" w:themeTint="BF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7733" w14:textId="14315BDD" w:rsidR="00441137" w:rsidRPr="00684005" w:rsidRDefault="00441137" w:rsidP="00441137">
            <w:pPr>
              <w:jc w:val="center"/>
              <w:rPr>
                <w:rFonts w:ascii="Arial" w:hAnsi="Arial" w:cs="Arial"/>
                <w:b w:val="0"/>
                <w:color w:val="2E2E2E"/>
                <w:sz w:val="24"/>
                <w:szCs w:val="24"/>
              </w:rPr>
            </w:pPr>
            <w:r>
              <w:rPr>
                <w:rFonts w:ascii="Arial" w:hAnsi="Arial" w:cs="Arial"/>
                <w:color w:val="2E2E2E"/>
              </w:rPr>
              <w:t>3/3/2019</w:t>
            </w: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2DF95" w14:textId="78628365" w:rsidR="00441137" w:rsidRPr="00684005" w:rsidRDefault="00BE15CD" w:rsidP="00441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hyperlink r:id="rId15" w:history="1">
              <w:r w:rsidR="00441137">
                <w:rPr>
                  <w:rStyle w:val="Hyperlink"/>
                  <w:rFonts w:ascii="Arial" w:hAnsi="Arial" w:cs="Arial"/>
                  <w:color w:val="1E90FF"/>
                </w:rPr>
                <w:t>New York City litigator</w:t>
              </w:r>
            </w:hyperlink>
          </w:p>
        </w:tc>
      </w:tr>
      <w:tr w:rsidR="00441137" w:rsidRPr="00800C78" w14:paraId="05BDA112" w14:textId="77777777" w:rsidTr="00441137">
        <w:tblPrEx>
          <w:tblBorders>
            <w:top w:val="single" w:sz="8" w:space="0" w:color="404040" w:themeColor="text1" w:themeTint="BF"/>
            <w:left w:val="single" w:sz="8" w:space="0" w:color="404040" w:themeColor="text1" w:themeTint="BF"/>
            <w:bottom w:val="single" w:sz="8" w:space="0" w:color="404040" w:themeColor="text1" w:themeTint="BF"/>
            <w:right w:val="single" w:sz="8" w:space="0" w:color="404040" w:themeColor="text1" w:themeTint="BF"/>
            <w:insideH w:val="single" w:sz="8" w:space="0" w:color="404040" w:themeColor="text1" w:themeTint="BF"/>
            <w:insideV w:val="none" w:sz="0" w:space="0" w:color="auto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9A46" w14:textId="1EF93290" w:rsidR="00441137" w:rsidRDefault="00441137" w:rsidP="00441137">
            <w:pPr>
              <w:jc w:val="center"/>
              <w:rPr>
                <w:rFonts w:ascii="Arial" w:hAnsi="Arial" w:cs="Arial"/>
                <w:b w:val="0"/>
                <w:color w:val="2E2E2E"/>
                <w:sz w:val="24"/>
                <w:szCs w:val="24"/>
              </w:rPr>
            </w:pPr>
            <w:r>
              <w:rPr>
                <w:rFonts w:ascii="Arial" w:hAnsi="Arial" w:cs="Arial"/>
                <w:color w:val="2E2E2E"/>
              </w:rPr>
              <w:t>4/24/2019</w:t>
            </w: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82DD8" w14:textId="2A197D42" w:rsidR="00441137" w:rsidRPr="001C0F7E" w:rsidRDefault="00BE15CD" w:rsidP="004411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hyperlink r:id="rId16" w:history="1">
              <w:r w:rsidR="00441137">
                <w:rPr>
                  <w:rStyle w:val="Hyperlink"/>
                  <w:rFonts w:ascii="Arial" w:hAnsi="Arial" w:cs="Arial"/>
                  <w:color w:val="1E90FF"/>
                </w:rPr>
                <w:t>Referral: Insurance Regulatory Counsel - Minnesota/Minneapolis</w:t>
              </w:r>
            </w:hyperlink>
          </w:p>
        </w:tc>
      </w:tr>
      <w:tr w:rsidR="00441137" w:rsidRPr="00800C78" w14:paraId="15D88775" w14:textId="77777777" w:rsidTr="00441137">
        <w:tblPrEx>
          <w:tblBorders>
            <w:top w:val="single" w:sz="8" w:space="0" w:color="404040" w:themeColor="text1" w:themeTint="BF"/>
            <w:left w:val="single" w:sz="8" w:space="0" w:color="404040" w:themeColor="text1" w:themeTint="BF"/>
            <w:bottom w:val="single" w:sz="8" w:space="0" w:color="404040" w:themeColor="text1" w:themeTint="BF"/>
            <w:right w:val="single" w:sz="8" w:space="0" w:color="404040" w:themeColor="text1" w:themeTint="BF"/>
            <w:insideH w:val="single" w:sz="8" w:space="0" w:color="404040" w:themeColor="text1" w:themeTint="BF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E7BC" w14:textId="736A415F" w:rsidR="00441137" w:rsidRDefault="00441137" w:rsidP="00441137">
            <w:pPr>
              <w:jc w:val="center"/>
              <w:rPr>
                <w:rFonts w:ascii="Arial" w:hAnsi="Arial" w:cs="Arial"/>
                <w:b w:val="0"/>
                <w:color w:val="2E2E2E"/>
                <w:sz w:val="24"/>
                <w:szCs w:val="24"/>
              </w:rPr>
            </w:pPr>
            <w:r>
              <w:rPr>
                <w:rFonts w:ascii="Arial" w:hAnsi="Arial" w:cs="Arial"/>
                <w:color w:val="2E2E2E"/>
              </w:rPr>
              <w:t>7/30/2019</w:t>
            </w: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EF9FA" w14:textId="0EE90D06" w:rsidR="00441137" w:rsidRPr="001C0F7E" w:rsidRDefault="00BE15CD" w:rsidP="00441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hyperlink r:id="rId17" w:history="1">
              <w:r w:rsidR="00441137">
                <w:rPr>
                  <w:rStyle w:val="Hyperlink"/>
                  <w:rFonts w:ascii="Arial" w:hAnsi="Arial" w:cs="Arial"/>
                  <w:color w:val="1E90FF"/>
                </w:rPr>
                <w:t>Creation of Captive Law Firm</w:t>
              </w:r>
            </w:hyperlink>
          </w:p>
        </w:tc>
      </w:tr>
      <w:tr w:rsidR="00443477" w:rsidRPr="00800C78" w14:paraId="5A0EBF04" w14:textId="77777777" w:rsidTr="001F7F62">
        <w:tblPrEx>
          <w:tblBorders>
            <w:top w:val="single" w:sz="8" w:space="0" w:color="404040" w:themeColor="text1" w:themeTint="BF"/>
            <w:left w:val="single" w:sz="8" w:space="0" w:color="404040" w:themeColor="text1" w:themeTint="BF"/>
            <w:bottom w:val="single" w:sz="8" w:space="0" w:color="404040" w:themeColor="text1" w:themeTint="BF"/>
            <w:right w:val="single" w:sz="8" w:space="0" w:color="404040" w:themeColor="text1" w:themeTint="BF"/>
            <w:insideH w:val="single" w:sz="8" w:space="0" w:color="404040" w:themeColor="text1" w:themeTint="BF"/>
            <w:insideV w:val="none" w:sz="0" w:space="0" w:color="auto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B2A9" w14:textId="77777777" w:rsidR="00443477" w:rsidRDefault="00443477" w:rsidP="001F7F62">
            <w:pPr>
              <w:jc w:val="center"/>
              <w:rPr>
                <w:rFonts w:ascii="Arial" w:hAnsi="Arial" w:cs="Arial"/>
                <w:color w:val="2E2E2E"/>
              </w:rPr>
            </w:pPr>
            <w:r>
              <w:rPr>
                <w:rFonts w:ascii="Arial" w:hAnsi="Arial" w:cs="Arial"/>
                <w:color w:val="2E2E2E"/>
              </w:rPr>
              <w:t>6/10/2020</w:t>
            </w: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7F06A" w14:textId="77777777" w:rsidR="00443477" w:rsidRPr="00443477" w:rsidRDefault="00443477" w:rsidP="001F7F6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8" w:tooltip="Recommendation for FinTech Outside Counsel - consumer lending" w:history="1">
              <w:r w:rsidRPr="00443477">
                <w:rPr>
                  <w:rStyle w:val="Hyperlink"/>
                </w:rPr>
                <w:t>Recommendation for FinTech Outside Counsel - consumer lending</w:t>
              </w:r>
            </w:hyperlink>
          </w:p>
        </w:tc>
      </w:tr>
    </w:tbl>
    <w:p w14:paraId="5843F8D8" w14:textId="77777777" w:rsidR="00FE07CD" w:rsidRDefault="00FE07CD" w:rsidP="009E7064">
      <w:pPr>
        <w:pStyle w:val="BodyText"/>
        <w:ind w:left="0"/>
        <w:rPr>
          <w:sz w:val="24"/>
          <w:szCs w:val="24"/>
        </w:rPr>
      </w:pPr>
    </w:p>
    <w:p w14:paraId="5E0119B2" w14:textId="77777777" w:rsidR="00191405" w:rsidRDefault="00191405" w:rsidP="00191405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bookmarkStart w:id="1" w:name="Dates"/>
      <w:r>
        <w:rPr>
          <w:rFonts w:ascii="Times New Roman" w:hAnsi="Times New Roman"/>
          <w:b/>
          <w:bCs/>
          <w:caps/>
          <w:sz w:val="28"/>
          <w:szCs w:val="28"/>
        </w:rPr>
        <w:t>Important Dates</w:t>
      </w:r>
    </w:p>
    <w:bookmarkEnd w:id="1"/>
    <w:p w14:paraId="6B439894" w14:textId="77777777" w:rsidR="00191405" w:rsidRDefault="00191405" w:rsidP="00191405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5"/>
        <w:gridCol w:w="180"/>
        <w:gridCol w:w="3285"/>
      </w:tblGrid>
      <w:tr w:rsidR="00443477" w:rsidRPr="00DF0432" w14:paraId="27847354" w14:textId="77777777" w:rsidTr="001F7F62">
        <w:trPr>
          <w:jc w:val="center"/>
        </w:trPr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vAlign w:val="center"/>
            <w:hideMark/>
          </w:tcPr>
          <w:p w14:paraId="6934BD4E" w14:textId="77777777" w:rsidR="00443477" w:rsidRPr="00DF0432" w:rsidRDefault="00443477" w:rsidP="001F7F62">
            <w:pPr>
              <w:spacing w:before="100" w:beforeAutospacing="1" w:after="100" w:afterAutospacing="1"/>
              <w:ind w:left="-1440" w:right="-720"/>
              <w:jc w:val="center"/>
              <w:textAlignment w:val="baseline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DF0432">
              <w:rPr>
                <w:rFonts w:ascii="Cambria" w:hAnsi="Cambria"/>
                <w:color w:val="FFFFFF"/>
                <w:sz w:val="28"/>
                <w:szCs w:val="28"/>
              </w:rPr>
              <w:t xml:space="preserve">                 </w:t>
            </w:r>
            <w:r w:rsidRPr="00DF0432">
              <w:rPr>
                <w:rFonts w:ascii="Cambria" w:hAnsi="Cambria"/>
                <w:b/>
                <w:bCs/>
                <w:color w:val="FFFFFF"/>
                <w:sz w:val="28"/>
                <w:szCs w:val="28"/>
              </w:rPr>
              <w:t>Item </w:t>
            </w:r>
          </w:p>
        </w:tc>
        <w:tc>
          <w:tcPr>
            <w:tcW w:w="3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vAlign w:val="center"/>
            <w:hideMark/>
          </w:tcPr>
          <w:p w14:paraId="274F47DB" w14:textId="77777777" w:rsidR="00443477" w:rsidRPr="00DF0432" w:rsidRDefault="00443477" w:rsidP="001F7F62">
            <w:pPr>
              <w:spacing w:before="100" w:beforeAutospacing="1" w:after="100" w:afterAutospacing="1"/>
              <w:ind w:left="-1440" w:right="-720"/>
              <w:jc w:val="center"/>
              <w:textAlignment w:val="baseline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DF0432">
              <w:rPr>
                <w:rFonts w:ascii="Cambria" w:hAnsi="Cambria"/>
                <w:b/>
                <w:bCs/>
                <w:color w:val="FFFFFF"/>
                <w:sz w:val="28"/>
                <w:szCs w:val="28"/>
              </w:rPr>
              <w:t>               Date </w:t>
            </w:r>
          </w:p>
        </w:tc>
      </w:tr>
      <w:tr w:rsidR="00443477" w:rsidRPr="00DF0432" w14:paraId="6F1C6347" w14:textId="77777777" w:rsidTr="001F7F62">
        <w:trPr>
          <w:jc w:val="center"/>
        </w:trPr>
        <w:tc>
          <w:tcPr>
            <w:tcW w:w="54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1F491E08" w14:textId="77777777" w:rsidR="00443477" w:rsidRPr="00DF0432" w:rsidRDefault="00443477" w:rsidP="001F7F62">
            <w:pPr>
              <w:spacing w:before="100" w:beforeAutospacing="1" w:after="100" w:afterAutospacing="1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0432">
              <w:rPr>
                <w:rFonts w:ascii="Cambria" w:hAnsi="Cambria"/>
                <w:sz w:val="28"/>
                <w:szCs w:val="28"/>
              </w:rPr>
              <w:t>Program Idea Submission Deadline</w:t>
            </w:r>
            <w:r w:rsidRPr="00DF0432">
              <w:rPr>
                <w:rFonts w:ascii="Cambria" w:hAnsi="Cambria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311DB71" w14:textId="77777777" w:rsidR="00443477" w:rsidRPr="00DF0432" w:rsidRDefault="00443477" w:rsidP="001F7F62">
            <w:pPr>
              <w:spacing w:before="100" w:beforeAutospacing="1" w:after="100" w:afterAutospacing="1"/>
              <w:ind w:left="9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F0432">
              <w:rPr>
                <w:rFonts w:ascii="Cambria" w:hAnsi="Cambria"/>
                <w:sz w:val="28"/>
                <w:szCs w:val="28"/>
              </w:rPr>
              <w:t>Wed., Feb. 3, 2021 </w:t>
            </w:r>
          </w:p>
        </w:tc>
      </w:tr>
      <w:tr w:rsidR="00443477" w:rsidRPr="00DF0432" w14:paraId="3CA6719E" w14:textId="77777777" w:rsidTr="001F7F62">
        <w:trPr>
          <w:jc w:val="center"/>
        </w:trPr>
        <w:tc>
          <w:tcPr>
            <w:tcW w:w="54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1983D8" w14:textId="77777777" w:rsidR="00443477" w:rsidRPr="00DF0432" w:rsidRDefault="00443477" w:rsidP="001F7F62">
            <w:pPr>
              <w:spacing w:before="100" w:beforeAutospacing="1" w:after="100" w:afterAutospacing="1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0432">
              <w:rPr>
                <w:rFonts w:ascii="Cambria" w:hAnsi="Cambria"/>
                <w:sz w:val="28"/>
                <w:szCs w:val="28"/>
              </w:rPr>
              <w:t>Program Selection Notifications Sent</w:t>
            </w:r>
            <w:r w:rsidRPr="00DF0432">
              <w:rPr>
                <w:rFonts w:ascii="Cambria" w:hAnsi="Cambria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E3C26D" w14:textId="77777777" w:rsidR="00443477" w:rsidRPr="00DF0432" w:rsidRDefault="00443477" w:rsidP="001F7F62">
            <w:pPr>
              <w:spacing w:before="100" w:beforeAutospacing="1" w:after="100" w:afterAutospacing="1"/>
              <w:ind w:left="9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F0432">
              <w:rPr>
                <w:rFonts w:ascii="Cambria" w:hAnsi="Cambria"/>
                <w:sz w:val="28"/>
                <w:szCs w:val="28"/>
              </w:rPr>
              <w:t>Wed., March 31, 2021 </w:t>
            </w:r>
          </w:p>
        </w:tc>
      </w:tr>
      <w:tr w:rsidR="00443477" w:rsidRPr="00DF0432" w14:paraId="09C06FF2" w14:textId="77777777" w:rsidTr="001F7F62">
        <w:trPr>
          <w:jc w:val="center"/>
        </w:trPr>
        <w:tc>
          <w:tcPr>
            <w:tcW w:w="54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8617FB5" w14:textId="77777777" w:rsidR="00443477" w:rsidRPr="00DF0432" w:rsidRDefault="00443477" w:rsidP="001F7F62">
            <w:pPr>
              <w:spacing w:before="100" w:beforeAutospacing="1" w:after="100" w:afterAutospacing="1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0432">
              <w:rPr>
                <w:rFonts w:ascii="Cambria" w:hAnsi="Cambria"/>
                <w:sz w:val="28"/>
                <w:szCs w:val="28"/>
              </w:rPr>
              <w:t>Program Organizer Submission Deadline</w:t>
            </w:r>
            <w:r w:rsidRPr="00DF0432">
              <w:rPr>
                <w:rFonts w:ascii="Cambria" w:hAnsi="Cambria"/>
                <w:vertAlign w:val="superscript"/>
              </w:rPr>
              <w:t>*</w:t>
            </w:r>
            <w:r w:rsidRPr="00DF0432">
              <w:rPr>
                <w:rFonts w:ascii="Cambria" w:hAnsi="Cambria"/>
                <w:b/>
                <w:bCs/>
              </w:rPr>
              <w:t> </w:t>
            </w:r>
          </w:p>
        </w:tc>
        <w:tc>
          <w:tcPr>
            <w:tcW w:w="3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2F6D28BC" w14:textId="77777777" w:rsidR="00443477" w:rsidRPr="00DF0432" w:rsidRDefault="00443477" w:rsidP="001F7F62">
            <w:pPr>
              <w:spacing w:before="100" w:beforeAutospacing="1" w:after="100" w:afterAutospacing="1"/>
              <w:ind w:left="9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F0432">
              <w:rPr>
                <w:rFonts w:ascii="Cambria" w:hAnsi="Cambria"/>
                <w:sz w:val="28"/>
                <w:szCs w:val="28"/>
              </w:rPr>
              <w:t>Wed., April 14, 2021 </w:t>
            </w:r>
          </w:p>
        </w:tc>
      </w:tr>
      <w:tr w:rsidR="00443477" w:rsidRPr="00DF0432" w14:paraId="0FB21892" w14:textId="77777777" w:rsidTr="001F7F62">
        <w:trPr>
          <w:jc w:val="center"/>
        </w:trPr>
        <w:tc>
          <w:tcPr>
            <w:tcW w:w="54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933A82" w14:textId="77777777" w:rsidR="00443477" w:rsidRPr="00DF0432" w:rsidRDefault="00443477" w:rsidP="001F7F62">
            <w:pPr>
              <w:spacing w:before="100" w:beforeAutospacing="1" w:after="100" w:afterAutospacing="1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0432">
              <w:rPr>
                <w:rFonts w:ascii="Cambria" w:hAnsi="Cambria"/>
                <w:sz w:val="28"/>
                <w:szCs w:val="28"/>
              </w:rPr>
              <w:t>Speaker Submission Deadline</w:t>
            </w:r>
            <w:r w:rsidRPr="00DF0432">
              <w:rPr>
                <w:rFonts w:ascii="Cambria" w:hAnsi="Cambria"/>
                <w:vertAlign w:val="superscript"/>
              </w:rPr>
              <w:t>*</w:t>
            </w:r>
            <w:r w:rsidRPr="00DF0432">
              <w:rPr>
                <w:rFonts w:ascii="Cambria" w:hAnsi="Cambria"/>
                <w:b/>
                <w:bCs/>
              </w:rPr>
              <w:t> </w:t>
            </w:r>
          </w:p>
        </w:tc>
        <w:tc>
          <w:tcPr>
            <w:tcW w:w="3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384B6B" w14:textId="77777777" w:rsidR="00443477" w:rsidRPr="00DF0432" w:rsidRDefault="00443477" w:rsidP="001F7F62">
            <w:pPr>
              <w:spacing w:before="100" w:beforeAutospacing="1" w:after="100" w:afterAutospacing="1"/>
              <w:ind w:left="9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F0432">
              <w:rPr>
                <w:rFonts w:ascii="Cambria" w:hAnsi="Cambria"/>
                <w:sz w:val="28"/>
                <w:szCs w:val="28"/>
              </w:rPr>
              <w:t>Fri., June 4, 2021 </w:t>
            </w:r>
          </w:p>
        </w:tc>
      </w:tr>
      <w:tr w:rsidR="00443477" w:rsidRPr="00DF0432" w14:paraId="0DA1DB6C" w14:textId="77777777" w:rsidTr="001F7F62">
        <w:trPr>
          <w:jc w:val="center"/>
        </w:trPr>
        <w:tc>
          <w:tcPr>
            <w:tcW w:w="54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E656491" w14:textId="77777777" w:rsidR="00443477" w:rsidRPr="00DF0432" w:rsidRDefault="00443477" w:rsidP="001F7F62">
            <w:pPr>
              <w:spacing w:before="100" w:beforeAutospacing="1" w:after="100" w:afterAutospacing="1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0432">
              <w:rPr>
                <w:rFonts w:ascii="Cambria" w:hAnsi="Cambria"/>
                <w:sz w:val="28"/>
                <w:szCs w:val="28"/>
              </w:rPr>
              <w:t>Course Material Submission Deadline</w:t>
            </w:r>
            <w:r w:rsidRPr="00DF0432">
              <w:rPr>
                <w:rFonts w:ascii="Cambria" w:hAnsi="Cambria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2CFEC1C" w14:textId="77777777" w:rsidR="00443477" w:rsidRPr="00DF0432" w:rsidRDefault="00443477" w:rsidP="001F7F62">
            <w:pPr>
              <w:spacing w:before="100" w:beforeAutospacing="1" w:after="100" w:afterAutospacing="1"/>
              <w:ind w:left="9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F0432">
              <w:rPr>
                <w:rFonts w:ascii="Cambria" w:hAnsi="Cambria"/>
                <w:sz w:val="28"/>
                <w:szCs w:val="28"/>
              </w:rPr>
              <w:t>Tues., Aug. 31, 2021 </w:t>
            </w:r>
          </w:p>
        </w:tc>
      </w:tr>
    </w:tbl>
    <w:p w14:paraId="7CC8C0EB" w14:textId="77777777" w:rsidR="00967AE5" w:rsidRDefault="00967AE5" w:rsidP="00191405">
      <w:pPr>
        <w:rPr>
          <w:rFonts w:ascii="Gill Sans" w:hAnsi="Gill Sans" w:cs="Gill Sans"/>
          <w:i/>
          <w:vertAlign w:val="superscript"/>
        </w:rPr>
      </w:pPr>
    </w:p>
    <w:p w14:paraId="5F41B83A" w14:textId="77777777" w:rsidR="008E510F" w:rsidRPr="008E510F" w:rsidRDefault="008E510F" w:rsidP="009E7064">
      <w:pPr>
        <w:pStyle w:val="BodyText"/>
        <w:ind w:left="0"/>
        <w:rPr>
          <w:sz w:val="24"/>
          <w:szCs w:val="24"/>
        </w:rPr>
      </w:pPr>
    </w:p>
    <w:sectPr w:rsidR="008E510F" w:rsidRPr="008E510F" w:rsidSect="00B652FA">
      <w:footerReference w:type="even" r:id="rId19"/>
      <w:footerReference w:type="default" r:id="rId20"/>
      <w:footerReference w:type="first" r:id="rId21"/>
      <w:pgSz w:w="12240" w:h="15840" w:code="1"/>
      <w:pgMar w:top="1008" w:right="1800" w:bottom="1440" w:left="965" w:header="720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DE31A8" w14:textId="77777777" w:rsidR="00BE15CD" w:rsidRDefault="00BE15CD">
      <w:r>
        <w:separator/>
      </w:r>
    </w:p>
  </w:endnote>
  <w:endnote w:type="continuationSeparator" w:id="0">
    <w:p w14:paraId="6DF24F56" w14:textId="77777777" w:rsidR="00BE15CD" w:rsidRDefault="00BE1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1DD66" w14:textId="77777777" w:rsidR="0033658F" w:rsidRDefault="0033658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59788AA" w14:textId="77777777" w:rsidR="0033658F" w:rsidRDefault="0033658F">
    <w:pPr>
      <w:pStyle w:val="Footer"/>
    </w:pPr>
  </w:p>
  <w:p w14:paraId="0162D035" w14:textId="77777777" w:rsidR="0033658F" w:rsidRDefault="0033658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48CF0" w14:textId="77777777" w:rsidR="0033658F" w:rsidRDefault="0033658F">
    <w:pPr>
      <w:pStyle w:val="Footer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B1F0D">
      <w:rPr>
        <w:rStyle w:val="PageNumber"/>
        <w:noProof/>
      </w:rPr>
      <w:t>6</w:t>
    </w:r>
    <w:r>
      <w:rPr>
        <w:rStyle w:val="PageNumber"/>
      </w:rPr>
      <w:fldChar w:fldCharType="end"/>
    </w:r>
  </w:p>
  <w:p w14:paraId="55BFA0D0" w14:textId="77777777" w:rsidR="0033658F" w:rsidRDefault="0033658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752631" w14:textId="77777777" w:rsidR="0033658F" w:rsidRDefault="0033658F" w:rsidP="00402105">
    <w:pPr>
      <w:tabs>
        <w:tab w:val="left" w:pos="13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7A2533" w14:textId="77777777" w:rsidR="00BE15CD" w:rsidRDefault="00BE15CD">
      <w:r>
        <w:separator/>
      </w:r>
    </w:p>
  </w:footnote>
  <w:footnote w:type="continuationSeparator" w:id="0">
    <w:p w14:paraId="088FA5EF" w14:textId="77777777" w:rsidR="00BE15CD" w:rsidRDefault="00BE1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078FA"/>
    <w:multiLevelType w:val="hybridMultilevel"/>
    <w:tmpl w:val="3454F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64A62"/>
    <w:multiLevelType w:val="hybridMultilevel"/>
    <w:tmpl w:val="CF94E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91CC5"/>
    <w:multiLevelType w:val="hybridMultilevel"/>
    <w:tmpl w:val="62862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C0055"/>
    <w:multiLevelType w:val="hybridMultilevel"/>
    <w:tmpl w:val="E1A06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hanging="180"/>
      </w:pPr>
    </w:lvl>
  </w:abstractNum>
  <w:abstractNum w:abstractNumId="15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2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8" w:dllVersion="513" w:checkStyle="1"/>
  <w:proofState w:spelling="clean" w:grammar="clean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E8B"/>
    <w:rsid w:val="00003EB6"/>
    <w:rsid w:val="00023734"/>
    <w:rsid w:val="000257A6"/>
    <w:rsid w:val="000347A0"/>
    <w:rsid w:val="0005029C"/>
    <w:rsid w:val="000507AE"/>
    <w:rsid w:val="0006558F"/>
    <w:rsid w:val="00090208"/>
    <w:rsid w:val="000B40F4"/>
    <w:rsid w:val="000C0AFA"/>
    <w:rsid w:val="000C5961"/>
    <w:rsid w:val="000F11D0"/>
    <w:rsid w:val="00120E8D"/>
    <w:rsid w:val="00125FAD"/>
    <w:rsid w:val="00134FA9"/>
    <w:rsid w:val="00141D2A"/>
    <w:rsid w:val="00162837"/>
    <w:rsid w:val="00176AA5"/>
    <w:rsid w:val="001839FF"/>
    <w:rsid w:val="00186620"/>
    <w:rsid w:val="00191405"/>
    <w:rsid w:val="001B21B4"/>
    <w:rsid w:val="001C0F7E"/>
    <w:rsid w:val="001E3232"/>
    <w:rsid w:val="00221AF2"/>
    <w:rsid w:val="0023173A"/>
    <w:rsid w:val="00240310"/>
    <w:rsid w:val="00263302"/>
    <w:rsid w:val="00274FFA"/>
    <w:rsid w:val="002B12B2"/>
    <w:rsid w:val="002C2B4C"/>
    <w:rsid w:val="002E5DBE"/>
    <w:rsid w:val="0031617E"/>
    <w:rsid w:val="003245FD"/>
    <w:rsid w:val="0033658F"/>
    <w:rsid w:val="00345C11"/>
    <w:rsid w:val="00365C11"/>
    <w:rsid w:val="003A62AA"/>
    <w:rsid w:val="003D3850"/>
    <w:rsid w:val="003F2C42"/>
    <w:rsid w:val="003F3AB0"/>
    <w:rsid w:val="00402105"/>
    <w:rsid w:val="00414CE3"/>
    <w:rsid w:val="00441137"/>
    <w:rsid w:val="004426CF"/>
    <w:rsid w:val="00443477"/>
    <w:rsid w:val="00461ECF"/>
    <w:rsid w:val="004807F5"/>
    <w:rsid w:val="004847BB"/>
    <w:rsid w:val="00486A60"/>
    <w:rsid w:val="00495796"/>
    <w:rsid w:val="004A032E"/>
    <w:rsid w:val="004C10AB"/>
    <w:rsid w:val="004E1CF8"/>
    <w:rsid w:val="004E46D5"/>
    <w:rsid w:val="005339B3"/>
    <w:rsid w:val="0055373B"/>
    <w:rsid w:val="00572CE4"/>
    <w:rsid w:val="005B44A6"/>
    <w:rsid w:val="005C59D8"/>
    <w:rsid w:val="005E6E04"/>
    <w:rsid w:val="005F256B"/>
    <w:rsid w:val="00601906"/>
    <w:rsid w:val="006564B6"/>
    <w:rsid w:val="0067416D"/>
    <w:rsid w:val="00684005"/>
    <w:rsid w:val="006B0464"/>
    <w:rsid w:val="006B1AB9"/>
    <w:rsid w:val="006D316A"/>
    <w:rsid w:val="00752573"/>
    <w:rsid w:val="00760054"/>
    <w:rsid w:val="00765A34"/>
    <w:rsid w:val="0077328A"/>
    <w:rsid w:val="0077668D"/>
    <w:rsid w:val="007776CA"/>
    <w:rsid w:val="007C7807"/>
    <w:rsid w:val="00800C2D"/>
    <w:rsid w:val="00800C78"/>
    <w:rsid w:val="00812E6B"/>
    <w:rsid w:val="00835971"/>
    <w:rsid w:val="00856847"/>
    <w:rsid w:val="008C1DB8"/>
    <w:rsid w:val="008C4423"/>
    <w:rsid w:val="008D6991"/>
    <w:rsid w:val="008E1C9C"/>
    <w:rsid w:val="008E510F"/>
    <w:rsid w:val="008F64AE"/>
    <w:rsid w:val="00915340"/>
    <w:rsid w:val="00923B12"/>
    <w:rsid w:val="009415FE"/>
    <w:rsid w:val="009658FB"/>
    <w:rsid w:val="00967AE5"/>
    <w:rsid w:val="00970C40"/>
    <w:rsid w:val="00973EC1"/>
    <w:rsid w:val="009A74AA"/>
    <w:rsid w:val="009B66F4"/>
    <w:rsid w:val="009E7064"/>
    <w:rsid w:val="009F5AE2"/>
    <w:rsid w:val="00A45FF6"/>
    <w:rsid w:val="00A51B6C"/>
    <w:rsid w:val="00A60D8D"/>
    <w:rsid w:val="00A638F8"/>
    <w:rsid w:val="00A654FE"/>
    <w:rsid w:val="00A77930"/>
    <w:rsid w:val="00A856AF"/>
    <w:rsid w:val="00AA1AD1"/>
    <w:rsid w:val="00AB1F0D"/>
    <w:rsid w:val="00AB6539"/>
    <w:rsid w:val="00B20BD7"/>
    <w:rsid w:val="00B46D84"/>
    <w:rsid w:val="00B478A1"/>
    <w:rsid w:val="00B52750"/>
    <w:rsid w:val="00B62406"/>
    <w:rsid w:val="00B63F11"/>
    <w:rsid w:val="00B652FA"/>
    <w:rsid w:val="00B826FE"/>
    <w:rsid w:val="00B9289A"/>
    <w:rsid w:val="00BC0D75"/>
    <w:rsid w:val="00BE15CD"/>
    <w:rsid w:val="00C130AA"/>
    <w:rsid w:val="00C2542B"/>
    <w:rsid w:val="00C343F2"/>
    <w:rsid w:val="00C464F8"/>
    <w:rsid w:val="00C85153"/>
    <w:rsid w:val="00C95753"/>
    <w:rsid w:val="00CD3E2A"/>
    <w:rsid w:val="00D02F80"/>
    <w:rsid w:val="00D216A4"/>
    <w:rsid w:val="00D7205D"/>
    <w:rsid w:val="00D72B31"/>
    <w:rsid w:val="00D94D7C"/>
    <w:rsid w:val="00D9700A"/>
    <w:rsid w:val="00DB28C1"/>
    <w:rsid w:val="00DE61DF"/>
    <w:rsid w:val="00E000C8"/>
    <w:rsid w:val="00E43B33"/>
    <w:rsid w:val="00E9740E"/>
    <w:rsid w:val="00EB1412"/>
    <w:rsid w:val="00EB35D3"/>
    <w:rsid w:val="00EB4A08"/>
    <w:rsid w:val="00EB77A6"/>
    <w:rsid w:val="00EB7F7E"/>
    <w:rsid w:val="00EE6F64"/>
    <w:rsid w:val="00F75D4E"/>
    <w:rsid w:val="00FD2E8B"/>
    <w:rsid w:val="00FD380D"/>
    <w:rsid w:val="00FE07CD"/>
    <w:rsid w:val="00FE07F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8D44C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D316A"/>
    <w:rPr>
      <w:rFonts w:ascii="Times" w:hAnsi="Times"/>
    </w:rPr>
  </w:style>
  <w:style w:type="paragraph" w:styleId="Heading1">
    <w:name w:val="heading 1"/>
    <w:basedOn w:val="Normal"/>
    <w:next w:val="BodyText"/>
    <w:qFormat/>
    <w:rsid w:val="00B652FA"/>
    <w:pPr>
      <w:keepNext/>
      <w:keepLines/>
      <w:spacing w:after="220" w:line="200" w:lineRule="atLeast"/>
      <w:ind w:left="835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rsid w:val="00B652FA"/>
    <w:pPr>
      <w:keepNext/>
      <w:keepLines/>
      <w:spacing w:line="200" w:lineRule="atLeast"/>
      <w:ind w:left="835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rsid w:val="00B652FA"/>
    <w:pPr>
      <w:keepNext/>
      <w:keepLines/>
      <w:spacing w:line="180" w:lineRule="atLeast"/>
      <w:ind w:left="1195"/>
      <w:outlineLvl w:val="2"/>
    </w:pPr>
    <w:rPr>
      <w:rFonts w:ascii="Arial Black" w:hAnsi="Arial Black"/>
      <w:spacing w:val="-5"/>
      <w:kern w:val="28"/>
    </w:rPr>
  </w:style>
  <w:style w:type="paragraph" w:styleId="Heading4">
    <w:name w:val="heading 4"/>
    <w:basedOn w:val="Normal"/>
    <w:next w:val="BodyText"/>
    <w:qFormat/>
    <w:rsid w:val="00B652FA"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rsid w:val="00B652FA"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652FA"/>
    <w:pPr>
      <w:spacing w:after="220" w:line="180" w:lineRule="atLeast"/>
      <w:ind w:left="835"/>
      <w:jc w:val="both"/>
    </w:pPr>
    <w:rPr>
      <w:rFonts w:ascii="Arial" w:hAnsi="Arial"/>
      <w:spacing w:val="-5"/>
    </w:rPr>
  </w:style>
  <w:style w:type="paragraph" w:styleId="Closing">
    <w:name w:val="Closing"/>
    <w:basedOn w:val="Normal"/>
    <w:rsid w:val="00B652FA"/>
    <w:pPr>
      <w:keepNext/>
      <w:spacing w:line="220" w:lineRule="atLeast"/>
      <w:ind w:left="835"/>
    </w:pPr>
    <w:rPr>
      <w:rFonts w:ascii="Arial" w:hAnsi="Arial"/>
      <w:spacing w:val="-5"/>
    </w:rPr>
  </w:style>
  <w:style w:type="paragraph" w:customStyle="1" w:styleId="CompanyName">
    <w:name w:val="Company Name"/>
    <w:basedOn w:val="Normal"/>
    <w:rsid w:val="00B652FA"/>
    <w:pPr>
      <w:keepLines/>
      <w:shd w:val="solid" w:color="auto" w:fill="auto"/>
      <w:spacing w:line="320" w:lineRule="exact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rsid w:val="00B652FA"/>
    <w:pPr>
      <w:keepNext/>
      <w:keepLines/>
      <w:spacing w:before="400" w:after="120" w:line="240" w:lineRule="atLeast"/>
    </w:pPr>
    <w:rPr>
      <w:rFonts w:ascii="Arial Black" w:hAnsi="Arial Black"/>
      <w:spacing w:val="-5"/>
      <w:kern w:val="28"/>
      <w:sz w:val="96"/>
    </w:rPr>
  </w:style>
  <w:style w:type="paragraph" w:customStyle="1" w:styleId="Enclosure">
    <w:name w:val="Enclosure"/>
    <w:basedOn w:val="BodyText"/>
    <w:next w:val="Normal"/>
    <w:rsid w:val="00B652FA"/>
    <w:pPr>
      <w:keepLines/>
      <w:spacing w:before="220"/>
      <w:jc w:val="left"/>
    </w:pPr>
  </w:style>
  <w:style w:type="paragraph" w:customStyle="1" w:styleId="HeaderBase">
    <w:name w:val="Header Base"/>
    <w:basedOn w:val="BodyText"/>
    <w:rsid w:val="00B652FA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rsid w:val="00B652FA"/>
    <w:pPr>
      <w:spacing w:before="600"/>
    </w:pPr>
    <w:rPr>
      <w:sz w:val="18"/>
    </w:rPr>
  </w:style>
  <w:style w:type="paragraph" w:styleId="Header">
    <w:name w:val="header"/>
    <w:basedOn w:val="HeaderBase"/>
    <w:rsid w:val="00B652FA"/>
    <w:pPr>
      <w:spacing w:after="600"/>
    </w:pPr>
  </w:style>
  <w:style w:type="paragraph" w:customStyle="1" w:styleId="HeadingBase">
    <w:name w:val="Heading Base"/>
    <w:basedOn w:val="BodyText"/>
    <w:next w:val="BodyText"/>
    <w:rsid w:val="00B652FA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rsid w:val="00B652FA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B652FA"/>
    <w:pPr>
      <w:spacing w:before="220"/>
    </w:pPr>
  </w:style>
  <w:style w:type="character" w:customStyle="1" w:styleId="MessageHeaderLabel">
    <w:name w:val="Message Header Label"/>
    <w:rsid w:val="00B652FA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B652FA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rsid w:val="00B652FA"/>
    <w:pPr>
      <w:ind w:left="1555"/>
    </w:pPr>
    <w:rPr>
      <w:rFonts w:ascii="Arial" w:hAnsi="Arial"/>
      <w:spacing w:val="-5"/>
    </w:rPr>
  </w:style>
  <w:style w:type="character" w:styleId="PageNumber">
    <w:name w:val="page number"/>
    <w:rsid w:val="00B652FA"/>
    <w:rPr>
      <w:sz w:val="18"/>
    </w:rPr>
  </w:style>
  <w:style w:type="paragraph" w:customStyle="1" w:styleId="ReturnAddress">
    <w:name w:val="Return Address"/>
    <w:basedOn w:val="Normal"/>
    <w:rsid w:val="00B652FA"/>
    <w:pPr>
      <w:keepLines/>
      <w:spacing w:line="200" w:lineRule="atLeast"/>
    </w:pPr>
    <w:rPr>
      <w:rFonts w:ascii="Arial" w:hAnsi="Arial"/>
      <w:spacing w:val="-2"/>
      <w:sz w:val="16"/>
    </w:rPr>
  </w:style>
  <w:style w:type="paragraph" w:styleId="Signature">
    <w:name w:val="Signature"/>
    <w:basedOn w:val="BodyText"/>
    <w:rsid w:val="00B652FA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rsid w:val="00B652FA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rsid w:val="00B652FA"/>
    <w:pPr>
      <w:spacing w:before="720"/>
      <w:jc w:val="left"/>
    </w:pPr>
  </w:style>
  <w:style w:type="paragraph" w:styleId="List">
    <w:name w:val="List"/>
    <w:basedOn w:val="Normal"/>
    <w:rsid w:val="00B652FA"/>
    <w:pPr>
      <w:ind w:left="1195" w:hanging="360"/>
    </w:pPr>
    <w:rPr>
      <w:rFonts w:ascii="Arial" w:hAnsi="Arial"/>
      <w:spacing w:val="-5"/>
    </w:rPr>
  </w:style>
  <w:style w:type="paragraph" w:styleId="List2">
    <w:name w:val="List 2"/>
    <w:basedOn w:val="Normal"/>
    <w:rsid w:val="00B652FA"/>
    <w:pPr>
      <w:ind w:left="1555" w:hanging="360"/>
    </w:pPr>
    <w:rPr>
      <w:rFonts w:ascii="Arial" w:hAnsi="Arial"/>
      <w:spacing w:val="-5"/>
    </w:rPr>
  </w:style>
  <w:style w:type="paragraph" w:styleId="List3">
    <w:name w:val="List 3"/>
    <w:basedOn w:val="Normal"/>
    <w:rsid w:val="00B652FA"/>
    <w:pPr>
      <w:ind w:left="1915" w:hanging="360"/>
    </w:pPr>
    <w:rPr>
      <w:rFonts w:ascii="Arial" w:hAnsi="Arial"/>
      <w:spacing w:val="-5"/>
    </w:rPr>
  </w:style>
  <w:style w:type="paragraph" w:styleId="List4">
    <w:name w:val="List 4"/>
    <w:basedOn w:val="Normal"/>
    <w:rsid w:val="00B652FA"/>
    <w:pPr>
      <w:ind w:left="2275" w:hanging="360"/>
    </w:pPr>
    <w:rPr>
      <w:rFonts w:ascii="Arial" w:hAnsi="Arial"/>
      <w:spacing w:val="-5"/>
    </w:rPr>
  </w:style>
  <w:style w:type="paragraph" w:styleId="List5">
    <w:name w:val="List 5"/>
    <w:basedOn w:val="Normal"/>
    <w:rsid w:val="00B652FA"/>
    <w:pPr>
      <w:ind w:left="2635" w:hanging="360"/>
    </w:pPr>
    <w:rPr>
      <w:rFonts w:ascii="Arial" w:hAnsi="Arial"/>
      <w:spacing w:val="-5"/>
    </w:rPr>
  </w:style>
  <w:style w:type="paragraph" w:styleId="ListBullet">
    <w:name w:val="List Bullet"/>
    <w:basedOn w:val="Normal"/>
    <w:autoRedefine/>
    <w:rsid w:val="00B652FA"/>
    <w:pPr>
      <w:numPr>
        <w:numId w:val="3"/>
      </w:numPr>
      <w:ind w:left="1195"/>
    </w:pPr>
    <w:rPr>
      <w:rFonts w:ascii="Arial" w:hAnsi="Arial"/>
      <w:spacing w:val="-5"/>
    </w:rPr>
  </w:style>
  <w:style w:type="paragraph" w:styleId="ListBullet2">
    <w:name w:val="List Bullet 2"/>
    <w:basedOn w:val="Normal"/>
    <w:autoRedefine/>
    <w:rsid w:val="00B652FA"/>
    <w:pPr>
      <w:numPr>
        <w:numId w:val="4"/>
      </w:numPr>
      <w:ind w:left="1555"/>
    </w:pPr>
    <w:rPr>
      <w:rFonts w:ascii="Arial" w:hAnsi="Arial"/>
      <w:spacing w:val="-5"/>
    </w:rPr>
  </w:style>
  <w:style w:type="paragraph" w:styleId="ListBullet3">
    <w:name w:val="List Bullet 3"/>
    <w:basedOn w:val="Normal"/>
    <w:autoRedefine/>
    <w:rsid w:val="00B652FA"/>
    <w:pPr>
      <w:numPr>
        <w:numId w:val="5"/>
      </w:numPr>
      <w:ind w:left="1915"/>
    </w:pPr>
    <w:rPr>
      <w:rFonts w:ascii="Arial" w:hAnsi="Arial"/>
      <w:spacing w:val="-5"/>
    </w:rPr>
  </w:style>
  <w:style w:type="paragraph" w:styleId="ListBullet4">
    <w:name w:val="List Bullet 4"/>
    <w:basedOn w:val="Normal"/>
    <w:autoRedefine/>
    <w:rsid w:val="00B652FA"/>
    <w:pPr>
      <w:numPr>
        <w:numId w:val="6"/>
      </w:numPr>
      <w:ind w:left="2275"/>
    </w:pPr>
    <w:rPr>
      <w:rFonts w:ascii="Arial" w:hAnsi="Arial"/>
      <w:spacing w:val="-5"/>
    </w:rPr>
  </w:style>
  <w:style w:type="paragraph" w:styleId="ListBullet5">
    <w:name w:val="List Bullet 5"/>
    <w:basedOn w:val="Normal"/>
    <w:autoRedefine/>
    <w:rsid w:val="00B652FA"/>
    <w:pPr>
      <w:numPr>
        <w:numId w:val="7"/>
      </w:numPr>
      <w:ind w:left="2635"/>
    </w:pPr>
    <w:rPr>
      <w:rFonts w:ascii="Arial" w:hAnsi="Arial"/>
      <w:spacing w:val="-5"/>
    </w:rPr>
  </w:style>
  <w:style w:type="paragraph" w:styleId="ListContinue">
    <w:name w:val="List Continue"/>
    <w:basedOn w:val="Normal"/>
    <w:rsid w:val="00B652FA"/>
    <w:pPr>
      <w:spacing w:after="120"/>
      <w:ind w:left="1195"/>
    </w:pPr>
    <w:rPr>
      <w:rFonts w:ascii="Arial" w:hAnsi="Arial"/>
      <w:spacing w:val="-5"/>
    </w:rPr>
  </w:style>
  <w:style w:type="paragraph" w:styleId="ListContinue2">
    <w:name w:val="List Continue 2"/>
    <w:basedOn w:val="Normal"/>
    <w:rsid w:val="00B652FA"/>
    <w:pPr>
      <w:spacing w:after="120"/>
      <w:ind w:left="1555"/>
    </w:pPr>
    <w:rPr>
      <w:rFonts w:ascii="Arial" w:hAnsi="Arial"/>
      <w:spacing w:val="-5"/>
    </w:rPr>
  </w:style>
  <w:style w:type="paragraph" w:styleId="ListContinue3">
    <w:name w:val="List Continue 3"/>
    <w:basedOn w:val="Normal"/>
    <w:rsid w:val="00B652FA"/>
    <w:pPr>
      <w:spacing w:after="120"/>
      <w:ind w:left="1915"/>
    </w:pPr>
    <w:rPr>
      <w:rFonts w:ascii="Arial" w:hAnsi="Arial"/>
      <w:spacing w:val="-5"/>
    </w:rPr>
  </w:style>
  <w:style w:type="paragraph" w:styleId="ListContinue4">
    <w:name w:val="List Continue 4"/>
    <w:basedOn w:val="Normal"/>
    <w:rsid w:val="00B652FA"/>
    <w:pPr>
      <w:spacing w:after="120"/>
      <w:ind w:left="2275"/>
    </w:pPr>
    <w:rPr>
      <w:rFonts w:ascii="Arial" w:hAnsi="Arial"/>
      <w:spacing w:val="-5"/>
    </w:rPr>
  </w:style>
  <w:style w:type="paragraph" w:styleId="ListContinue5">
    <w:name w:val="List Continue 5"/>
    <w:basedOn w:val="Normal"/>
    <w:rsid w:val="00B652FA"/>
    <w:pPr>
      <w:spacing w:after="120"/>
      <w:ind w:left="2635"/>
    </w:pPr>
    <w:rPr>
      <w:rFonts w:ascii="Arial" w:hAnsi="Arial"/>
      <w:spacing w:val="-5"/>
    </w:rPr>
  </w:style>
  <w:style w:type="paragraph" w:styleId="ListNumber">
    <w:name w:val="List Number"/>
    <w:basedOn w:val="Normal"/>
    <w:rsid w:val="00B652FA"/>
    <w:pPr>
      <w:numPr>
        <w:numId w:val="8"/>
      </w:numPr>
      <w:ind w:left="1195"/>
    </w:pPr>
    <w:rPr>
      <w:rFonts w:ascii="Arial" w:hAnsi="Arial"/>
      <w:spacing w:val="-5"/>
    </w:rPr>
  </w:style>
  <w:style w:type="paragraph" w:styleId="ListNumber2">
    <w:name w:val="List Number 2"/>
    <w:basedOn w:val="Normal"/>
    <w:rsid w:val="00B652FA"/>
    <w:pPr>
      <w:numPr>
        <w:numId w:val="9"/>
      </w:numPr>
      <w:ind w:left="1555"/>
    </w:pPr>
    <w:rPr>
      <w:rFonts w:ascii="Arial" w:hAnsi="Arial"/>
      <w:spacing w:val="-5"/>
    </w:rPr>
  </w:style>
  <w:style w:type="paragraph" w:styleId="ListNumber3">
    <w:name w:val="List Number 3"/>
    <w:basedOn w:val="Normal"/>
    <w:rsid w:val="00B652FA"/>
    <w:pPr>
      <w:numPr>
        <w:numId w:val="10"/>
      </w:numPr>
      <w:ind w:left="1915"/>
    </w:pPr>
    <w:rPr>
      <w:rFonts w:ascii="Arial" w:hAnsi="Arial"/>
      <w:spacing w:val="-5"/>
    </w:rPr>
  </w:style>
  <w:style w:type="paragraph" w:styleId="ListNumber4">
    <w:name w:val="List Number 4"/>
    <w:basedOn w:val="Normal"/>
    <w:rsid w:val="00B652FA"/>
    <w:pPr>
      <w:numPr>
        <w:numId w:val="11"/>
      </w:numPr>
      <w:ind w:left="2275"/>
    </w:pPr>
    <w:rPr>
      <w:rFonts w:ascii="Arial" w:hAnsi="Arial"/>
      <w:spacing w:val="-5"/>
    </w:rPr>
  </w:style>
  <w:style w:type="paragraph" w:styleId="ListNumber5">
    <w:name w:val="List Number 5"/>
    <w:basedOn w:val="Normal"/>
    <w:rsid w:val="00B652FA"/>
    <w:pPr>
      <w:numPr>
        <w:numId w:val="12"/>
      </w:numPr>
      <w:ind w:left="2635"/>
    </w:pPr>
    <w:rPr>
      <w:rFonts w:ascii="Arial" w:hAnsi="Arial"/>
      <w:spacing w:val="-5"/>
    </w:rPr>
  </w:style>
  <w:style w:type="table" w:styleId="MediumShading1">
    <w:name w:val="Medium Shading 1"/>
    <w:basedOn w:val="TableNormal"/>
    <w:uiPriority w:val="63"/>
    <w:rsid w:val="008D699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D699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991"/>
    <w:rPr>
      <w:rFonts w:ascii="Lucida Grande" w:hAnsi="Lucida Grande" w:cs="Lucida Grande"/>
      <w:spacing w:val="-5"/>
      <w:sz w:val="18"/>
      <w:szCs w:val="18"/>
    </w:rPr>
  </w:style>
  <w:style w:type="table" w:styleId="TableGrid">
    <w:name w:val="Table Grid"/>
    <w:basedOn w:val="TableNormal"/>
    <w:uiPriority w:val="59"/>
    <w:rsid w:val="004A0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032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3AB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E3232"/>
    <w:pPr>
      <w:ind w:left="720"/>
      <w:contextualSpacing/>
    </w:pPr>
    <w:rPr>
      <w:rFonts w:ascii="Arial" w:hAnsi="Arial"/>
      <w:spacing w:val="-5"/>
    </w:rPr>
  </w:style>
  <w:style w:type="character" w:customStyle="1" w:styleId="BodyTextChar">
    <w:name w:val="Body Text Char"/>
    <w:basedOn w:val="DefaultParagraphFont"/>
    <w:link w:val="BodyText"/>
    <w:rsid w:val="00CD3E2A"/>
    <w:rPr>
      <w:rFonts w:ascii="Arial" w:hAnsi="Arial"/>
      <w:spacing w:val="-5"/>
    </w:rPr>
  </w:style>
  <w:style w:type="paragraph" w:customStyle="1" w:styleId="p1">
    <w:name w:val="p1"/>
    <w:basedOn w:val="Normal"/>
    <w:rsid w:val="00856847"/>
    <w:rPr>
      <w:rFonts w:ascii="Arial" w:hAnsi="Arial" w:cs="Arial"/>
      <w:sz w:val="15"/>
      <w:szCs w:val="15"/>
    </w:rPr>
  </w:style>
  <w:style w:type="character" w:customStyle="1" w:styleId="s1">
    <w:name w:val="s1"/>
    <w:basedOn w:val="DefaultParagraphFont"/>
    <w:rsid w:val="00856847"/>
  </w:style>
  <w:style w:type="character" w:styleId="CommentReference">
    <w:name w:val="annotation reference"/>
    <w:basedOn w:val="DefaultParagraphFont"/>
    <w:uiPriority w:val="99"/>
    <w:semiHidden/>
    <w:unhideWhenUsed/>
    <w:rsid w:val="004434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347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3477"/>
    <w:rPr>
      <w:rFonts w:ascii="Times" w:hAnsi="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4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3477"/>
    <w:rPr>
      <w:rFonts w:ascii="Times" w:hAnsi="Time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munity.acc.com/viewthread?MessageKey=79DD380D-3718-4ED8-865E-9EA20ABB6E47" TargetMode="External"/><Relationship Id="rId13" Type="http://schemas.openxmlformats.org/officeDocument/2006/relationships/hyperlink" Target="http://community.acc.com/viewthread?MessageKey=7D06171E-969F-4A5E-BEA3-71E40344BB9A" TargetMode="External"/><Relationship Id="rId18" Type="http://schemas.openxmlformats.org/officeDocument/2006/relationships/hyperlink" Target="https://community.acc.com/communities/community-home/digestviewer/viewthread?GroupId=79&amp;MessageKey=febf53f6-0180-42af-85a5-25e93d7ed391&amp;CommunityKey=1478d8c2-bfa1-4376-8967-cbc9c860bf4d&amp;tab=digestviewer&amp;ReturnUrl=%2fcommunities%2fcommunity-home%2fdigestviewer%3fCommunityKey%3d1478d8c2-bfa1-4376-8967-cbc9c860bf4d" TargetMode="Externa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tiff"/><Relationship Id="rId12" Type="http://schemas.openxmlformats.org/officeDocument/2006/relationships/hyperlink" Target="http://community.acc.com/viewthread?MessageKey=55139C42-2D80-498F-9F86-DEFA1AADD5E2" TargetMode="External"/><Relationship Id="rId17" Type="http://schemas.openxmlformats.org/officeDocument/2006/relationships/hyperlink" Target="http://community.acc.com/viewthread?MessageKey=146077C9-F5D4-4DC0-BB22-90082FAA503C" TargetMode="External"/><Relationship Id="rId2" Type="http://schemas.openxmlformats.org/officeDocument/2006/relationships/styles" Target="styles.xml"/><Relationship Id="rId16" Type="http://schemas.openxmlformats.org/officeDocument/2006/relationships/hyperlink" Target="http://community.acc.com/viewthread?MessageKey=479C4E02-9436-4022-8EAC-AB481950677B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ommunity.acc.com/viewthread?MessageKey=9E9B81BF-422C-494B-A141-8EAAEAE2A12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community.acc.com/viewthread?MessageKey=7DA66555-8010-4DDC-BB4C-922583A26DC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community.acc.com/viewthread?MessageKey=FB8E9800-EE64-48B8-BA79-9FA74B5E4BD0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community.acc.com/viewthread?MessageKey=8C2B9489-ADE9-4EBC-AB4A-963CED8AB9ED" TargetMode="External"/><Relationship Id="rId14" Type="http://schemas.openxmlformats.org/officeDocument/2006/relationships/hyperlink" Target="http://community.acc.com/viewthread?MessageKey=F4DD575A-E7BB-40F5-A1FF-26F3C280AE9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1526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10210</CharactersWithSpaces>
  <SharedDoc>false</SharedDoc>
  <HLinks>
    <vt:vector size="6" baseType="variant">
      <vt:variant>
        <vt:i4>8257593</vt:i4>
      </vt:variant>
      <vt:variant>
        <vt:i4>-1</vt:i4>
      </vt:variant>
      <vt:variant>
        <vt:i4>1030</vt:i4>
      </vt:variant>
      <vt:variant>
        <vt:i4>1</vt:i4>
      </vt:variant>
      <vt:variant>
        <vt:lpwstr>ACCLthd-Header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Okolski</dc:creator>
  <cp:keywords/>
  <dc:description/>
  <cp:lastModifiedBy>LaToya Tapscott</cp:lastModifiedBy>
  <cp:revision>4</cp:revision>
  <cp:lastPrinted>2014-09-22T14:57:00Z</cp:lastPrinted>
  <dcterms:created xsi:type="dcterms:W3CDTF">2020-12-11T10:46:00Z</dcterms:created>
  <dcterms:modified xsi:type="dcterms:W3CDTF">2020-12-11T11:55:00Z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TC010129271033</vt:lpwstr>
  </property>
</Properties>
</file>