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D38F9" w14:textId="7E0DB8FC" w:rsidR="002C269B" w:rsidRDefault="002C269B">
      <w:pPr>
        <w:pStyle w:val="DocumentLabel"/>
        <w:rPr>
          <w:sz w:val="48"/>
        </w:rPr>
      </w:pPr>
      <w:r w:rsidRPr="00E50177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73335DBF" wp14:editId="3303EAC1">
            <wp:simplePos x="0" y="0"/>
            <wp:positionH relativeFrom="column">
              <wp:posOffset>-131674</wp:posOffset>
            </wp:positionH>
            <wp:positionV relativeFrom="paragraph">
              <wp:posOffset>-110972</wp:posOffset>
            </wp:positionV>
            <wp:extent cx="3479800" cy="7969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EAD7C" w14:textId="34AD7928" w:rsidR="00402105" w:rsidRPr="002A6264" w:rsidRDefault="00EB7F7E">
      <w:pPr>
        <w:pStyle w:val="DocumentLabel"/>
        <w:rPr>
          <w:sz w:val="48"/>
        </w:rPr>
      </w:pPr>
      <w:r w:rsidRPr="002A6264">
        <w:rPr>
          <w:sz w:val="48"/>
        </w:rPr>
        <w:t>Memo</w:t>
      </w:r>
    </w:p>
    <w:p w14:paraId="5382330E" w14:textId="1C26E575" w:rsidR="00402105" w:rsidRPr="00D216A4" w:rsidRDefault="00EB7F7E" w:rsidP="00402105">
      <w:pPr>
        <w:pStyle w:val="MessageHeaderFirst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pacing w:val="-25"/>
          <w:sz w:val="24"/>
          <w:szCs w:val="24"/>
        </w:rPr>
        <w:t>T</w:t>
      </w:r>
      <w:r w:rsidRPr="00D216A4">
        <w:rPr>
          <w:rStyle w:val="MessageHeaderLabel"/>
          <w:rFonts w:ascii="Arial" w:hAnsi="Arial"/>
          <w:sz w:val="24"/>
          <w:szCs w:val="24"/>
        </w:rPr>
        <w:t xml:space="preserve">o: </w:t>
      </w:r>
      <w:r w:rsidRPr="00D216A4">
        <w:rPr>
          <w:sz w:val="24"/>
          <w:szCs w:val="24"/>
        </w:rPr>
        <w:tab/>
      </w:r>
      <w:r w:rsidR="00A51F71">
        <w:rPr>
          <w:sz w:val="24"/>
          <w:szCs w:val="24"/>
        </w:rPr>
        <w:t xml:space="preserve">Energy </w:t>
      </w:r>
      <w:r w:rsidR="00432C12">
        <w:rPr>
          <w:sz w:val="24"/>
          <w:szCs w:val="24"/>
        </w:rPr>
        <w:t>Network</w:t>
      </w:r>
      <w:r w:rsidR="00A51F71">
        <w:rPr>
          <w:sz w:val="24"/>
          <w:szCs w:val="24"/>
        </w:rPr>
        <w:t xml:space="preserve"> Leaders</w:t>
      </w:r>
      <w:r w:rsidR="005D4F4E">
        <w:rPr>
          <w:sz w:val="24"/>
          <w:szCs w:val="24"/>
        </w:rPr>
        <w:t>hip</w:t>
      </w:r>
    </w:p>
    <w:p w14:paraId="44ED8517" w14:textId="43EB944E" w:rsidR="00402105" w:rsidRPr="00D216A4" w:rsidRDefault="00EB7F7E" w:rsidP="00402105">
      <w:pPr>
        <w:pStyle w:val="MessageHeader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 xml:space="preserve">From: </w:t>
      </w:r>
      <w:r w:rsidRPr="00D216A4">
        <w:rPr>
          <w:sz w:val="24"/>
          <w:szCs w:val="24"/>
        </w:rPr>
        <w:tab/>
      </w:r>
      <w:r w:rsidR="00097EA3">
        <w:rPr>
          <w:sz w:val="24"/>
          <w:szCs w:val="24"/>
        </w:rPr>
        <w:t>Nicholas Moses</w:t>
      </w:r>
      <w:r w:rsidR="000D65A5">
        <w:rPr>
          <w:sz w:val="24"/>
          <w:szCs w:val="24"/>
        </w:rPr>
        <w:t xml:space="preserve">, </w:t>
      </w:r>
      <w:r w:rsidR="00097EA3">
        <w:rPr>
          <w:sz w:val="24"/>
          <w:szCs w:val="24"/>
        </w:rPr>
        <w:t>Networks Manager</w:t>
      </w:r>
    </w:p>
    <w:p w14:paraId="6717977F" w14:textId="59CF3145" w:rsidR="00402105" w:rsidRPr="00D216A4" w:rsidRDefault="00EB7F7E" w:rsidP="00402105">
      <w:pPr>
        <w:pStyle w:val="MessageHeader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 xml:space="preserve">Date: </w:t>
      </w:r>
      <w:r w:rsidRPr="00D216A4">
        <w:rPr>
          <w:sz w:val="24"/>
          <w:szCs w:val="24"/>
        </w:rPr>
        <w:tab/>
      </w:r>
      <w:r w:rsidR="00390551" w:rsidRPr="39BA647C">
        <w:rPr>
          <w:sz w:val="24"/>
          <w:szCs w:val="24"/>
        </w:rPr>
        <w:t xml:space="preserve">December </w:t>
      </w:r>
      <w:r w:rsidR="00A501DF">
        <w:rPr>
          <w:sz w:val="24"/>
          <w:szCs w:val="24"/>
        </w:rPr>
        <w:t>9</w:t>
      </w:r>
      <w:r w:rsidR="00432C12" w:rsidRPr="39BA647C">
        <w:rPr>
          <w:sz w:val="24"/>
          <w:szCs w:val="24"/>
        </w:rPr>
        <w:t>, 2020</w:t>
      </w:r>
    </w:p>
    <w:p w14:paraId="0F1BE2AB" w14:textId="5CE1A919" w:rsidR="00402105" w:rsidRPr="00D216A4" w:rsidRDefault="00EB7F7E" w:rsidP="00402105">
      <w:pPr>
        <w:pStyle w:val="MessageHeaderLast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>Re:</w:t>
      </w:r>
      <w:r w:rsidRPr="00D216A4">
        <w:rPr>
          <w:sz w:val="24"/>
          <w:szCs w:val="24"/>
        </w:rPr>
        <w:tab/>
      </w:r>
      <w:r w:rsidR="00432C12">
        <w:rPr>
          <w:sz w:val="24"/>
          <w:szCs w:val="24"/>
        </w:rPr>
        <w:t>20</w:t>
      </w:r>
      <w:r w:rsidR="00622A35">
        <w:rPr>
          <w:sz w:val="24"/>
          <w:szCs w:val="24"/>
        </w:rPr>
        <w:t>20</w:t>
      </w:r>
      <w:r w:rsidR="00402105" w:rsidRPr="00D216A4">
        <w:rPr>
          <w:sz w:val="24"/>
          <w:szCs w:val="24"/>
        </w:rPr>
        <w:t xml:space="preserve"> Annual Meeting Call for Programs </w:t>
      </w:r>
      <w:r w:rsidR="00D7205D" w:rsidRPr="00D216A4">
        <w:rPr>
          <w:sz w:val="24"/>
          <w:szCs w:val="24"/>
        </w:rPr>
        <w:t>Data</w:t>
      </w:r>
      <w:r w:rsidR="004847BB" w:rsidRPr="00D216A4">
        <w:rPr>
          <w:sz w:val="24"/>
          <w:szCs w:val="24"/>
        </w:rPr>
        <w:t xml:space="preserve"> </w:t>
      </w:r>
    </w:p>
    <w:p w14:paraId="6CCD4801" w14:textId="77777777" w:rsidR="00A501DF" w:rsidRDefault="00A501DF" w:rsidP="00A501DF">
      <w:pPr>
        <w:pStyle w:val="Heading1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anticipation of the 2021</w:t>
      </w:r>
      <w:r w:rsidRPr="00AC50A6">
        <w:rPr>
          <w:rFonts w:ascii="Arial" w:hAnsi="Arial" w:cs="Arial"/>
          <w:sz w:val="24"/>
          <w:szCs w:val="24"/>
        </w:rPr>
        <w:t xml:space="preserve"> Annual Meeting Call fo</w:t>
      </w:r>
      <w:r>
        <w:rPr>
          <w:rFonts w:ascii="Arial" w:hAnsi="Arial" w:cs="Arial"/>
          <w:sz w:val="24"/>
          <w:szCs w:val="24"/>
        </w:rPr>
        <w:t>r Programs</w:t>
      </w:r>
      <w:r w:rsidRPr="00AC50A6">
        <w:rPr>
          <w:rFonts w:ascii="Arial" w:hAnsi="Arial" w:cs="Arial"/>
          <w:sz w:val="24"/>
          <w:szCs w:val="24"/>
        </w:rPr>
        <w:t>, below you will find data to aid the E</w:t>
      </w:r>
      <w:r>
        <w:rPr>
          <w:rFonts w:ascii="Arial" w:hAnsi="Arial" w:cs="Arial"/>
          <w:sz w:val="24"/>
          <w:szCs w:val="24"/>
        </w:rPr>
        <w:t>mployment and Labor Law Network</w:t>
      </w:r>
      <w:r w:rsidRPr="00AC50A6">
        <w:rPr>
          <w:rFonts w:ascii="Arial" w:hAnsi="Arial" w:cs="Arial"/>
          <w:sz w:val="24"/>
          <w:szCs w:val="24"/>
        </w:rPr>
        <w:t xml:space="preserve"> in developing its program submissions. All data provided is representative of activity from Octo</w:t>
      </w:r>
      <w:r>
        <w:rPr>
          <w:rFonts w:ascii="Arial" w:hAnsi="Arial" w:cs="Arial"/>
          <w:sz w:val="24"/>
          <w:szCs w:val="24"/>
        </w:rPr>
        <w:t>ber 1, 2018 through September 30, 2020.</w:t>
      </w:r>
    </w:p>
    <w:p w14:paraId="5B7362F4" w14:textId="1F41BB78" w:rsidR="39BA647C" w:rsidRDefault="39BA647C" w:rsidP="39BA647C">
      <w:pPr>
        <w:pStyle w:val="BodyText"/>
        <w:spacing w:before="66" w:line="237" w:lineRule="auto"/>
        <w:ind w:left="0" w:right="214"/>
        <w:rPr>
          <w:sz w:val="24"/>
          <w:szCs w:val="24"/>
        </w:rPr>
      </w:pPr>
    </w:p>
    <w:p w14:paraId="65AAF663" w14:textId="208DFD9A" w:rsidR="006B0464" w:rsidRPr="00D216A4" w:rsidRDefault="006B0464" w:rsidP="00D7205D">
      <w:pPr>
        <w:pStyle w:val="Heading1"/>
        <w:ind w:left="0"/>
        <w:rPr>
          <w:caps/>
          <w:sz w:val="24"/>
          <w:szCs w:val="24"/>
        </w:rPr>
      </w:pPr>
      <w:r w:rsidRPr="00D216A4">
        <w:rPr>
          <w:caps/>
          <w:sz w:val="24"/>
          <w:szCs w:val="24"/>
        </w:rPr>
        <w:t>201</w:t>
      </w:r>
      <w:r w:rsidR="00097EA3">
        <w:rPr>
          <w:caps/>
          <w:sz w:val="24"/>
          <w:szCs w:val="24"/>
        </w:rPr>
        <w:t>8</w:t>
      </w:r>
      <w:r w:rsidRPr="00D216A4">
        <w:rPr>
          <w:caps/>
          <w:sz w:val="24"/>
          <w:szCs w:val="24"/>
        </w:rPr>
        <w:t>-20</w:t>
      </w:r>
      <w:r w:rsidR="00097EA3">
        <w:rPr>
          <w:caps/>
          <w:sz w:val="24"/>
          <w:szCs w:val="24"/>
        </w:rPr>
        <w:t>20</w:t>
      </w:r>
      <w:r w:rsidRPr="00D216A4">
        <w:rPr>
          <w:caps/>
          <w:sz w:val="24"/>
          <w:szCs w:val="24"/>
        </w:rPr>
        <w:t xml:space="preserve"> Annual Meeting </w:t>
      </w:r>
      <w:r w:rsidR="00EF45D2">
        <w:rPr>
          <w:caps/>
          <w:sz w:val="24"/>
          <w:szCs w:val="24"/>
        </w:rPr>
        <w:t xml:space="preserve">Energy </w:t>
      </w:r>
      <w:r w:rsidR="00432C12">
        <w:rPr>
          <w:caps/>
          <w:sz w:val="24"/>
          <w:szCs w:val="24"/>
        </w:rPr>
        <w:t>Network</w:t>
      </w:r>
      <w:r w:rsidRPr="00D216A4">
        <w:rPr>
          <w:caps/>
          <w:sz w:val="24"/>
          <w:szCs w:val="24"/>
        </w:rPr>
        <w:t xml:space="preserve"> </w:t>
      </w:r>
      <w:r w:rsidR="00390551">
        <w:rPr>
          <w:caps/>
          <w:sz w:val="24"/>
          <w:szCs w:val="24"/>
        </w:rPr>
        <w:t>Submissions</w:t>
      </w:r>
    </w:p>
    <w:tbl>
      <w:tblPr>
        <w:tblStyle w:val="TableGrid"/>
        <w:tblW w:w="967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8460"/>
        <w:gridCol w:w="1217"/>
      </w:tblGrid>
      <w:tr w:rsidR="004A032E" w:rsidRPr="00D216A4" w14:paraId="38EF2B68" w14:textId="77777777" w:rsidTr="39BA647C">
        <w:tc>
          <w:tcPr>
            <w:tcW w:w="84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28AAE16" w14:textId="4A60F991" w:rsidR="004A032E" w:rsidRPr="00EF45D2" w:rsidRDefault="004A032E" w:rsidP="006B0464">
            <w:pPr>
              <w:pStyle w:val="BodyText"/>
              <w:ind w:left="0"/>
              <w:rPr>
                <w:b/>
              </w:rPr>
            </w:pPr>
            <w:r w:rsidRPr="00EF45D2">
              <w:rPr>
                <w:b/>
              </w:rPr>
              <w:t>Session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D455C36" w14:textId="0B5DA317" w:rsidR="004A032E" w:rsidRPr="00EF45D2" w:rsidRDefault="004A032E" w:rsidP="006B0464">
            <w:pPr>
              <w:pStyle w:val="BodyText"/>
              <w:ind w:left="0"/>
              <w:rPr>
                <w:b/>
              </w:rPr>
            </w:pPr>
            <w:r w:rsidRPr="00EF45D2">
              <w:rPr>
                <w:b/>
              </w:rPr>
              <w:t>Attendees</w:t>
            </w:r>
            <w:r w:rsidR="00390551">
              <w:rPr>
                <w:b/>
              </w:rPr>
              <w:t>/Status</w:t>
            </w:r>
          </w:p>
        </w:tc>
      </w:tr>
      <w:tr w:rsidR="00097EA3" w:rsidRPr="000D65A5" w14:paraId="48EA8D70" w14:textId="77777777" w:rsidTr="39BA647C">
        <w:tc>
          <w:tcPr>
            <w:tcW w:w="846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B5FEE30" w14:textId="5DA0237F" w:rsidR="00097EA3" w:rsidRDefault="39BA647C" w:rsidP="39BA647C">
            <w:pPr>
              <w:pStyle w:val="BodyText"/>
              <w:spacing w:after="120"/>
              <w:ind w:left="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39BA647C">
              <w:rPr>
                <w:rFonts w:cs="Arial"/>
                <w:b/>
                <w:bCs/>
                <w:sz w:val="24"/>
                <w:szCs w:val="24"/>
              </w:rPr>
              <w:t xml:space="preserve">2020 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4A415F1C" w14:textId="77777777" w:rsidR="00097EA3" w:rsidRPr="000D65A5" w:rsidRDefault="00097EA3" w:rsidP="00E27533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097EA3" w:rsidRPr="000D65A5" w14:paraId="40B2CA67" w14:textId="77777777" w:rsidTr="39BA647C"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0DA7A" w14:textId="27DFD03C" w:rsidR="00097EA3" w:rsidRPr="00AC22BC" w:rsidRDefault="00AC22BC" w:rsidP="00AC22BC">
            <w:pPr>
              <w:ind w:left="0"/>
              <w:rPr>
                <w:rFonts w:cs="Arial"/>
                <w:sz w:val="24"/>
                <w:szCs w:val="24"/>
              </w:rPr>
            </w:pPr>
            <w:r w:rsidRPr="00AC22BC">
              <w:rPr>
                <w:rFonts w:cs="Arial"/>
                <w:sz w:val="24"/>
                <w:szCs w:val="24"/>
              </w:rPr>
              <w:t>Climate Change, Extreme Weather Events, and Their Impact on the Energy Sector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A5D86" w14:textId="56FBD251" w:rsidR="00097EA3" w:rsidRPr="000D65A5" w:rsidRDefault="39BA647C" w:rsidP="39BA647C">
            <w:pPr>
              <w:pStyle w:val="BodyText"/>
              <w:spacing w:after="120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39BA647C">
              <w:rPr>
                <w:rFonts w:cs="Arial"/>
                <w:sz w:val="24"/>
                <w:szCs w:val="24"/>
              </w:rPr>
              <w:t>79</w:t>
            </w:r>
          </w:p>
        </w:tc>
      </w:tr>
      <w:tr w:rsidR="39BA647C" w14:paraId="62A4AB01" w14:textId="77777777" w:rsidTr="39BA647C"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C73D6" w14:textId="23698C49" w:rsidR="39BA647C" w:rsidRDefault="39BA647C" w:rsidP="39BA647C">
            <w:pPr>
              <w:ind w:left="0"/>
              <w:jc w:val="both"/>
              <w:rPr>
                <w:rFonts w:cs="Arial"/>
                <w:sz w:val="24"/>
                <w:szCs w:val="24"/>
              </w:rPr>
            </w:pPr>
            <w:r w:rsidRPr="39BA647C">
              <w:rPr>
                <w:rFonts w:cs="Arial"/>
                <w:sz w:val="24"/>
                <w:szCs w:val="24"/>
              </w:rPr>
              <w:t>The Future of the Oil and Gas Industry after COVID-19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C18EC" w14:textId="4373FCC4" w:rsidR="39BA647C" w:rsidRDefault="39BA647C" w:rsidP="39BA647C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39BA647C">
              <w:rPr>
                <w:rFonts w:cs="Arial"/>
                <w:sz w:val="24"/>
                <w:szCs w:val="24"/>
              </w:rPr>
              <w:t>57</w:t>
            </w:r>
          </w:p>
        </w:tc>
      </w:tr>
      <w:tr w:rsidR="00097EA3" w:rsidRPr="000D65A5" w14:paraId="774F6E0F" w14:textId="77777777" w:rsidTr="39BA647C"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2F679" w14:textId="54FC2BC1" w:rsidR="00097EA3" w:rsidRPr="00AC22BC" w:rsidRDefault="00AC22BC" w:rsidP="00AC22BC">
            <w:pPr>
              <w:ind w:left="0"/>
              <w:rPr>
                <w:rFonts w:cs="Arial"/>
                <w:sz w:val="24"/>
                <w:szCs w:val="24"/>
              </w:rPr>
            </w:pPr>
            <w:r w:rsidRPr="00AC22BC">
              <w:rPr>
                <w:rFonts w:cs="Arial"/>
                <w:sz w:val="24"/>
                <w:szCs w:val="24"/>
              </w:rPr>
              <w:t>Mastering Energy Trading Agreements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63AED" w14:textId="51B63241" w:rsidR="00097EA3" w:rsidRPr="000D65A5" w:rsidRDefault="00AC22BC" w:rsidP="00E27533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AC22BC" w:rsidRPr="000D65A5" w14:paraId="5D126C00" w14:textId="77777777" w:rsidTr="39BA647C"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561ED" w14:textId="55F93892" w:rsidR="00AC22BC" w:rsidRPr="00AC22BC" w:rsidRDefault="00AC22BC" w:rsidP="00AC22BC">
            <w:pPr>
              <w:ind w:left="0"/>
              <w:rPr>
                <w:rFonts w:cs="Arial"/>
                <w:sz w:val="24"/>
                <w:szCs w:val="24"/>
              </w:rPr>
            </w:pPr>
            <w:r w:rsidRPr="00AC22BC">
              <w:rPr>
                <w:rFonts w:cs="Arial"/>
                <w:sz w:val="24"/>
                <w:szCs w:val="24"/>
              </w:rPr>
              <w:t>The Current US Sanctions and Foreign Policy Environment -- Implications for Global Energy Firms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A7E78" w14:textId="60F6D810" w:rsidR="00AC22BC" w:rsidRPr="000D65A5" w:rsidRDefault="00AC22BC" w:rsidP="00E27533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DB1C6E" w:rsidRPr="000D65A5" w14:paraId="467888EB" w14:textId="77777777" w:rsidTr="39BA647C">
        <w:tc>
          <w:tcPr>
            <w:tcW w:w="846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0C08524" w14:textId="1AA67438" w:rsidR="00DB1C6E" w:rsidRDefault="00DB1C6E" w:rsidP="00E27533">
            <w:pPr>
              <w:pStyle w:val="BodyText"/>
              <w:spacing w:after="120"/>
              <w:ind w:left="0"/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2019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4C075EA" w14:textId="77777777" w:rsidR="00DB1C6E" w:rsidRPr="000D65A5" w:rsidRDefault="00DB1C6E" w:rsidP="00E27533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B1C6E" w:rsidRPr="000D65A5" w14:paraId="08D8F0EC" w14:textId="77777777" w:rsidTr="39BA647C"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E044D" w14:textId="708BEDD6" w:rsidR="00DB1C6E" w:rsidRPr="00432C12" w:rsidRDefault="00DB1C6E" w:rsidP="00E27533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DB1C6E">
              <w:rPr>
                <w:rFonts w:cs="Arial"/>
                <w:sz w:val="24"/>
                <w:szCs w:val="24"/>
              </w:rPr>
              <w:t>Efficient Energy Storage: Is the Holy Grail within Reach?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7EE97" w14:textId="351DF315" w:rsidR="00DB1C6E" w:rsidRPr="000D65A5" w:rsidRDefault="006F1BCA" w:rsidP="00DB1C6E">
            <w:pPr>
              <w:pStyle w:val="BodyText"/>
              <w:spacing w:after="120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70</w:t>
            </w:r>
          </w:p>
        </w:tc>
      </w:tr>
      <w:tr w:rsidR="00DB1C6E" w:rsidRPr="000D65A5" w14:paraId="430FEFAF" w14:textId="77777777" w:rsidTr="39BA647C"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F4DF4" w14:textId="47B6DCBF" w:rsidR="00DB1C6E" w:rsidRPr="00432C12" w:rsidRDefault="00DB1C6E" w:rsidP="00E27533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DB1C6E">
              <w:rPr>
                <w:rFonts w:cs="Arial"/>
                <w:sz w:val="24"/>
                <w:szCs w:val="24"/>
              </w:rPr>
              <w:t>Managing Anticorruption and Bribery Risks in the Oil and Gas Industry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E304E" w14:textId="72B36D7E" w:rsidR="00DB1C6E" w:rsidRPr="000D65A5" w:rsidRDefault="006F1BCA" w:rsidP="00DB1C6E">
            <w:pPr>
              <w:pStyle w:val="BodyText"/>
              <w:spacing w:after="120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40</w:t>
            </w:r>
          </w:p>
        </w:tc>
      </w:tr>
      <w:tr w:rsidR="00DB1C6E" w:rsidRPr="000D65A5" w14:paraId="224B6A18" w14:textId="77777777" w:rsidTr="39BA647C"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AF420" w14:textId="6678D263" w:rsidR="00DB1C6E" w:rsidRPr="00432C12" w:rsidRDefault="00DB1C6E" w:rsidP="00E27533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DB1C6E">
              <w:rPr>
                <w:rFonts w:cs="Arial"/>
                <w:sz w:val="24"/>
                <w:szCs w:val="24"/>
              </w:rPr>
              <w:t xml:space="preserve">Lessons Learned </w:t>
            </w:r>
            <w:proofErr w:type="gramStart"/>
            <w:r w:rsidRPr="00DB1C6E">
              <w:rPr>
                <w:rFonts w:cs="Arial"/>
                <w:sz w:val="24"/>
                <w:szCs w:val="24"/>
              </w:rPr>
              <w:t>From</w:t>
            </w:r>
            <w:proofErr w:type="gramEnd"/>
            <w:r w:rsidRPr="00DB1C6E">
              <w:rPr>
                <w:rFonts w:cs="Arial"/>
                <w:sz w:val="24"/>
                <w:szCs w:val="24"/>
              </w:rPr>
              <w:t xml:space="preserve"> the Department of Energy’s Whistleblower Protection Program and Implications for In-house Counsel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44A84" w14:textId="6E105CB1" w:rsidR="00DB1C6E" w:rsidRPr="000D65A5" w:rsidRDefault="00DB1C6E" w:rsidP="00DB1C6E">
            <w:pPr>
              <w:pStyle w:val="BodyText"/>
              <w:spacing w:after="120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432C12" w:rsidRPr="000D65A5" w14:paraId="0A90D0B4" w14:textId="77777777" w:rsidTr="39BA647C">
        <w:tc>
          <w:tcPr>
            <w:tcW w:w="846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5E1E88D" w14:textId="3B072785" w:rsidR="00432C12" w:rsidRDefault="00432C12" w:rsidP="00432C12">
            <w:pPr>
              <w:pStyle w:val="BodyText"/>
              <w:spacing w:after="120"/>
              <w:ind w:left="0"/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2018 (</w:t>
            </w:r>
            <w:r w:rsidR="00DB1C6E">
              <w:rPr>
                <w:rFonts w:cs="Arial"/>
                <w:b/>
                <w:sz w:val="24"/>
                <w:szCs w:val="24"/>
              </w:rPr>
              <w:t>Final attendance numbers</w:t>
            </w:r>
            <w:r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6A31CB4" w14:textId="77777777" w:rsidR="00432C12" w:rsidRPr="000D65A5" w:rsidRDefault="00432C12" w:rsidP="008D3F4F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432C12" w:rsidRPr="000D65A5" w14:paraId="73EAC1D5" w14:textId="77777777" w:rsidTr="39BA647C"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33C6A" w14:textId="5E29917D" w:rsidR="00432C12" w:rsidRPr="00432C12" w:rsidRDefault="00432C12" w:rsidP="00432C12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432C12">
              <w:rPr>
                <w:rFonts w:cs="Arial"/>
                <w:sz w:val="24"/>
                <w:szCs w:val="24"/>
              </w:rPr>
              <w:t>Corporate Wars: The Last JD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1A319" w14:textId="683EC7CE" w:rsidR="00432C12" w:rsidRPr="000D65A5" w:rsidRDefault="00FB138D" w:rsidP="00DB1C6E">
            <w:pPr>
              <w:pStyle w:val="BodyText"/>
              <w:spacing w:after="120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  <w:r w:rsidR="00CE15B4">
              <w:rPr>
                <w:rFonts w:cs="Arial"/>
                <w:sz w:val="24"/>
                <w:szCs w:val="24"/>
              </w:rPr>
              <w:t>3</w:t>
            </w:r>
          </w:p>
        </w:tc>
      </w:tr>
      <w:tr w:rsidR="00432C12" w:rsidRPr="000D65A5" w14:paraId="0FB284D6" w14:textId="77777777" w:rsidTr="39BA647C"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AFAB9" w14:textId="0E4A9457" w:rsidR="00432C12" w:rsidRPr="00432C12" w:rsidRDefault="00432C12" w:rsidP="00432C12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432C12">
              <w:rPr>
                <w:rFonts w:cs="Arial"/>
                <w:sz w:val="24"/>
                <w:szCs w:val="24"/>
              </w:rPr>
              <w:t>Being Green: Profitable or Pitfall?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145DF" w14:textId="5D3768CE" w:rsidR="00432C12" w:rsidRPr="000D65A5" w:rsidRDefault="00CE15B4" w:rsidP="00DB1C6E">
            <w:pPr>
              <w:pStyle w:val="BodyText"/>
              <w:spacing w:after="120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142</w:t>
            </w:r>
          </w:p>
        </w:tc>
      </w:tr>
      <w:tr w:rsidR="00432C12" w:rsidRPr="000D65A5" w14:paraId="62DE7BC6" w14:textId="77777777" w:rsidTr="39BA647C"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EACEE" w14:textId="386ED0BC" w:rsidR="00432C12" w:rsidRPr="00432C12" w:rsidRDefault="00432C12" w:rsidP="00432C12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432C12">
              <w:rPr>
                <w:rFonts w:cs="Arial"/>
                <w:sz w:val="24"/>
                <w:szCs w:val="24"/>
              </w:rPr>
              <w:t>Climate Change Litigation: The New Frontier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D003A" w14:textId="7BBF57FA" w:rsidR="00432C12" w:rsidRPr="000D65A5" w:rsidRDefault="00432C12" w:rsidP="00DB1C6E">
            <w:pPr>
              <w:pStyle w:val="BodyText"/>
              <w:spacing w:after="120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432C12" w:rsidRPr="000D65A5" w14:paraId="70DFB131" w14:textId="77777777" w:rsidTr="39BA647C"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F3872" w14:textId="78ED0892" w:rsidR="00432C12" w:rsidRPr="00432C12" w:rsidRDefault="00432C12" w:rsidP="00432C12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432C12">
              <w:rPr>
                <w:rFonts w:cs="Arial"/>
                <w:sz w:val="24"/>
                <w:szCs w:val="24"/>
              </w:rPr>
              <w:lastRenderedPageBreak/>
              <w:t>Anatomy of a Breach of Contract: Energy Unleashed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514E6" w14:textId="769EFD6A" w:rsidR="00432C12" w:rsidRPr="000D65A5" w:rsidRDefault="00432C12" w:rsidP="00DB1C6E">
            <w:pPr>
              <w:pStyle w:val="BodyText"/>
              <w:spacing w:after="120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</w:tbl>
    <w:p w14:paraId="09EC15EC" w14:textId="77777777" w:rsidR="009F348A" w:rsidRDefault="009F348A" w:rsidP="00402A2D">
      <w:pPr>
        <w:pStyle w:val="BodyText"/>
        <w:spacing w:after="0"/>
        <w:ind w:left="0"/>
        <w:rPr>
          <w:sz w:val="24"/>
          <w:szCs w:val="24"/>
        </w:rPr>
      </w:pPr>
    </w:p>
    <w:p w14:paraId="34936130" w14:textId="77777777" w:rsidR="00885873" w:rsidRPr="009F348A" w:rsidRDefault="00885873" w:rsidP="00402A2D">
      <w:pPr>
        <w:pStyle w:val="BodyText"/>
        <w:spacing w:after="0"/>
        <w:ind w:left="0"/>
        <w:rPr>
          <w:sz w:val="24"/>
          <w:szCs w:val="24"/>
        </w:rPr>
      </w:pPr>
    </w:p>
    <w:p w14:paraId="28BC8850" w14:textId="6C6DC1B3" w:rsidR="000E51E9" w:rsidRPr="00D216A4" w:rsidRDefault="000E51E9" w:rsidP="000E51E9">
      <w:pPr>
        <w:pStyle w:val="Heading1"/>
        <w:ind w:left="0"/>
        <w:rPr>
          <w:caps/>
          <w:sz w:val="24"/>
          <w:szCs w:val="24"/>
        </w:rPr>
      </w:pPr>
      <w:r>
        <w:rPr>
          <w:caps/>
          <w:sz w:val="24"/>
          <w:szCs w:val="24"/>
        </w:rPr>
        <w:t>201</w:t>
      </w:r>
      <w:r w:rsidR="00097EA3">
        <w:rPr>
          <w:caps/>
          <w:sz w:val="24"/>
          <w:szCs w:val="24"/>
        </w:rPr>
        <w:t>9</w:t>
      </w:r>
      <w:r>
        <w:rPr>
          <w:caps/>
          <w:sz w:val="24"/>
          <w:szCs w:val="24"/>
        </w:rPr>
        <w:t xml:space="preserve"> -20</w:t>
      </w:r>
      <w:r w:rsidR="00097EA3">
        <w:rPr>
          <w:caps/>
          <w:sz w:val="24"/>
          <w:szCs w:val="24"/>
        </w:rPr>
        <w:t>20</w:t>
      </w:r>
      <w:r w:rsidRPr="00CF2461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>Energy LAW Network</w:t>
      </w:r>
      <w:r w:rsidRPr="00CF2461">
        <w:rPr>
          <w:caps/>
          <w:sz w:val="24"/>
          <w:szCs w:val="24"/>
        </w:rPr>
        <w:t xml:space="preserve"> Member Survey Suggested Topics</w:t>
      </w:r>
    </w:p>
    <w:p w14:paraId="6AF834EF" w14:textId="103CD3B8" w:rsidR="000E51E9" w:rsidRDefault="000E51E9" w:rsidP="000E51E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Alternative Energy Innovation</w:t>
      </w:r>
    </w:p>
    <w:p w14:paraId="4F13B46D" w14:textId="053A8EEC" w:rsidR="000E51E9" w:rsidRDefault="000E51E9" w:rsidP="000E51E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Regulatory Updates</w:t>
      </w:r>
    </w:p>
    <w:p w14:paraId="41FDA053" w14:textId="6A013EC5" w:rsidR="000E51E9" w:rsidRDefault="000E51E9" w:rsidP="000E51E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Issues in Mergers &amp; Acquisitions</w:t>
      </w:r>
    </w:p>
    <w:p w14:paraId="39FC6B1E" w14:textId="77587822" w:rsidR="000E51E9" w:rsidRDefault="000E51E9" w:rsidP="000E51E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Setting Up a Joint-Venture Project</w:t>
      </w:r>
    </w:p>
    <w:p w14:paraId="76D371AA" w14:textId="2EC4ED25" w:rsidR="000E51E9" w:rsidRDefault="000E51E9" w:rsidP="00D7205D">
      <w:pPr>
        <w:pStyle w:val="Heading1"/>
        <w:ind w:left="0"/>
        <w:rPr>
          <w:caps/>
          <w:sz w:val="24"/>
          <w:szCs w:val="24"/>
        </w:rPr>
      </w:pPr>
    </w:p>
    <w:p w14:paraId="17F84758" w14:textId="77777777" w:rsidR="00A501DF" w:rsidRPr="00A501DF" w:rsidRDefault="00A501DF" w:rsidP="00A501DF">
      <w:pPr>
        <w:pStyle w:val="BodyText"/>
      </w:pPr>
    </w:p>
    <w:p w14:paraId="03D055D2" w14:textId="000613AD" w:rsidR="00402105" w:rsidRPr="00D216A4" w:rsidRDefault="00402105" w:rsidP="00D7205D">
      <w:pPr>
        <w:pStyle w:val="Heading1"/>
        <w:ind w:left="0"/>
        <w:rPr>
          <w:caps/>
          <w:sz w:val="24"/>
          <w:szCs w:val="24"/>
        </w:rPr>
      </w:pPr>
      <w:r w:rsidRPr="00D216A4">
        <w:rPr>
          <w:caps/>
          <w:sz w:val="24"/>
          <w:szCs w:val="24"/>
        </w:rPr>
        <w:t>201</w:t>
      </w:r>
      <w:r w:rsidR="00097EA3">
        <w:rPr>
          <w:caps/>
          <w:sz w:val="24"/>
          <w:szCs w:val="24"/>
        </w:rPr>
        <w:t>8</w:t>
      </w:r>
      <w:r w:rsidRPr="00D216A4">
        <w:rPr>
          <w:caps/>
          <w:sz w:val="24"/>
          <w:szCs w:val="24"/>
        </w:rPr>
        <w:t>-20</w:t>
      </w:r>
      <w:r w:rsidR="00097EA3">
        <w:rPr>
          <w:caps/>
          <w:sz w:val="24"/>
          <w:szCs w:val="24"/>
        </w:rPr>
        <w:t>20</w:t>
      </w:r>
      <w:r w:rsidR="00AA55E5">
        <w:rPr>
          <w:caps/>
          <w:sz w:val="24"/>
          <w:szCs w:val="24"/>
        </w:rPr>
        <w:t xml:space="preserve"> </w:t>
      </w:r>
      <w:r w:rsidR="00402A2D">
        <w:rPr>
          <w:caps/>
          <w:sz w:val="24"/>
          <w:szCs w:val="24"/>
        </w:rPr>
        <w:t>Energy</w:t>
      </w:r>
      <w:r w:rsidR="00AA55E5">
        <w:rPr>
          <w:caps/>
          <w:sz w:val="24"/>
          <w:szCs w:val="24"/>
        </w:rPr>
        <w:t xml:space="preserve"> </w:t>
      </w:r>
      <w:r w:rsidR="00432C12">
        <w:rPr>
          <w:caps/>
          <w:sz w:val="24"/>
          <w:szCs w:val="24"/>
        </w:rPr>
        <w:t>NETWORK</w:t>
      </w:r>
      <w:r w:rsidRPr="00D216A4">
        <w:rPr>
          <w:caps/>
          <w:sz w:val="24"/>
          <w:szCs w:val="24"/>
        </w:rPr>
        <w:t xml:space="preserve"> </w:t>
      </w:r>
      <w:r w:rsidR="00272FB7">
        <w:rPr>
          <w:caps/>
          <w:sz w:val="24"/>
          <w:szCs w:val="24"/>
        </w:rPr>
        <w:t>Online Event</w:t>
      </w:r>
      <w:r w:rsidRPr="00D216A4">
        <w:rPr>
          <w:caps/>
          <w:sz w:val="24"/>
          <w:szCs w:val="24"/>
        </w:rPr>
        <w:t xml:space="preserve"> Attendance Numbers</w:t>
      </w:r>
    </w:p>
    <w:p w14:paraId="4E172B77" w14:textId="6901DA12" w:rsidR="00882149" w:rsidRPr="000D65A5" w:rsidRDefault="00882149" w:rsidP="00882149">
      <w:pPr>
        <w:pStyle w:val="BodyText"/>
        <w:ind w:left="0"/>
        <w:rPr>
          <w:sz w:val="24"/>
          <w:szCs w:val="24"/>
        </w:rPr>
      </w:pPr>
      <w:r w:rsidRPr="000D65A5">
        <w:rPr>
          <w:sz w:val="24"/>
          <w:szCs w:val="24"/>
          <w:u w:val="single"/>
        </w:rPr>
        <w:t>APAC Call</w:t>
      </w:r>
      <w:r w:rsidRPr="000D65A5">
        <w:rPr>
          <w:sz w:val="24"/>
          <w:szCs w:val="24"/>
        </w:rPr>
        <w:t xml:space="preserve"> (APAC) – Short (15 to 30-minute) presentations on the latest legal trends made on the monthly </w:t>
      </w:r>
      <w:r w:rsidR="00432C12">
        <w:rPr>
          <w:sz w:val="24"/>
          <w:szCs w:val="24"/>
        </w:rPr>
        <w:t>Network</w:t>
      </w:r>
      <w:r w:rsidRPr="000D65A5">
        <w:rPr>
          <w:sz w:val="24"/>
          <w:szCs w:val="24"/>
        </w:rPr>
        <w:t xml:space="preserve"> Teleconference calls. Available live or on-demand through the ACC Education Archive. No CLE/CPD credit available.</w:t>
      </w:r>
    </w:p>
    <w:p w14:paraId="69EB6226" w14:textId="77777777" w:rsidR="00882149" w:rsidRPr="000D65A5" w:rsidRDefault="00882149" w:rsidP="00882149">
      <w:pPr>
        <w:pStyle w:val="BodyText"/>
        <w:ind w:left="0"/>
        <w:rPr>
          <w:sz w:val="24"/>
          <w:szCs w:val="24"/>
        </w:rPr>
      </w:pPr>
      <w:r w:rsidRPr="000D65A5">
        <w:rPr>
          <w:sz w:val="24"/>
          <w:szCs w:val="24"/>
          <w:u w:val="single"/>
        </w:rPr>
        <w:t xml:space="preserve">EMEA Call (EMEA) </w:t>
      </w:r>
      <w:r w:rsidRPr="000D65A5">
        <w:rPr>
          <w:sz w:val="24"/>
          <w:szCs w:val="24"/>
        </w:rPr>
        <w:t>– One-hour live presentations on the latest legal trends. Available live or on-demand through the ACC Education Archive. CLE/CPD credit available for a fee.</w:t>
      </w:r>
    </w:p>
    <w:p w14:paraId="0621378E" w14:textId="3947CEDD" w:rsidR="00882149" w:rsidRPr="000D65A5" w:rsidRDefault="00882149" w:rsidP="00882149">
      <w:pPr>
        <w:pStyle w:val="BodyText"/>
        <w:ind w:left="0"/>
        <w:rPr>
          <w:sz w:val="24"/>
          <w:szCs w:val="24"/>
        </w:rPr>
      </w:pPr>
      <w:r w:rsidRPr="000D65A5">
        <w:rPr>
          <w:sz w:val="24"/>
          <w:szCs w:val="24"/>
          <w:u w:val="single"/>
        </w:rPr>
        <w:t>Legal Quick Hit (LQH)</w:t>
      </w:r>
      <w:r w:rsidRPr="000D65A5">
        <w:rPr>
          <w:sz w:val="24"/>
          <w:szCs w:val="24"/>
        </w:rPr>
        <w:t xml:space="preserve"> – Short (20 to 45-minute) presentations on the latest legal trends made on the monthly </w:t>
      </w:r>
      <w:r w:rsidR="00432C12">
        <w:rPr>
          <w:sz w:val="24"/>
          <w:szCs w:val="24"/>
        </w:rPr>
        <w:t>Network</w:t>
      </w:r>
      <w:r w:rsidRPr="000D65A5">
        <w:rPr>
          <w:sz w:val="24"/>
          <w:szCs w:val="24"/>
        </w:rPr>
        <w:t xml:space="preserve"> Teleconference calls. Available live or on-demand through the ACC Education Archive. No CLE/CPD credit available.</w:t>
      </w:r>
    </w:p>
    <w:p w14:paraId="435CFDB4" w14:textId="77777777" w:rsidR="00882149" w:rsidRPr="000D65A5" w:rsidRDefault="00882149" w:rsidP="00882149">
      <w:pPr>
        <w:pStyle w:val="BodyText"/>
        <w:ind w:left="0"/>
        <w:rPr>
          <w:sz w:val="24"/>
          <w:szCs w:val="24"/>
        </w:rPr>
      </w:pPr>
      <w:r w:rsidRPr="000D65A5">
        <w:rPr>
          <w:sz w:val="24"/>
          <w:szCs w:val="24"/>
          <w:u w:val="single"/>
        </w:rPr>
        <w:t>Roundtable Discussion (R)</w:t>
      </w:r>
      <w:r w:rsidRPr="000D65A5">
        <w:rPr>
          <w:sz w:val="24"/>
          <w:szCs w:val="24"/>
        </w:rPr>
        <w:t xml:space="preserve"> – Thirty-minute to </w:t>
      </w:r>
      <w:proofErr w:type="gramStart"/>
      <w:r w:rsidRPr="000D65A5">
        <w:rPr>
          <w:sz w:val="24"/>
          <w:szCs w:val="24"/>
        </w:rPr>
        <w:t>one hour</w:t>
      </w:r>
      <w:proofErr w:type="gramEnd"/>
      <w:r w:rsidRPr="000D65A5">
        <w:rPr>
          <w:sz w:val="24"/>
          <w:szCs w:val="24"/>
        </w:rPr>
        <w:t xml:space="preserve"> live presentations on the latest legal trends featuring an interactive discussion between two or more industry or topic area experts. Available live or on-demand through the ACC Education Archive. No CLE/CPD credit available.</w:t>
      </w:r>
    </w:p>
    <w:p w14:paraId="617DC84B" w14:textId="77777777" w:rsidR="00882149" w:rsidRPr="000D65A5" w:rsidRDefault="00882149" w:rsidP="00882149">
      <w:pPr>
        <w:pStyle w:val="BodyText"/>
        <w:ind w:left="0"/>
        <w:rPr>
          <w:sz w:val="24"/>
          <w:szCs w:val="24"/>
        </w:rPr>
      </w:pPr>
      <w:r w:rsidRPr="000D65A5">
        <w:rPr>
          <w:sz w:val="24"/>
          <w:szCs w:val="24"/>
          <w:u w:val="single"/>
        </w:rPr>
        <w:t>Webcast (W)</w:t>
      </w:r>
      <w:r w:rsidRPr="000D65A5">
        <w:rPr>
          <w:sz w:val="24"/>
          <w:szCs w:val="24"/>
        </w:rPr>
        <w:t xml:space="preserve"> – One-hour live presentations on the latest legal trends. Available live or on-demand through the ACC Education Archive. CLE/CPD credit available for a fee.</w:t>
      </w:r>
    </w:p>
    <w:p w14:paraId="15D14C06" w14:textId="77777777" w:rsidR="00272FB7" w:rsidRPr="009F348A" w:rsidRDefault="00272FB7" w:rsidP="00402105">
      <w:pPr>
        <w:pStyle w:val="BodyText"/>
        <w:ind w:left="0"/>
        <w:rPr>
          <w:sz w:val="22"/>
          <w:szCs w:val="22"/>
        </w:rPr>
      </w:pPr>
    </w:p>
    <w:tbl>
      <w:tblPr>
        <w:tblStyle w:val="MediumShading1"/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6142"/>
        <w:gridCol w:w="1104"/>
        <w:gridCol w:w="1332"/>
      </w:tblGrid>
      <w:tr w:rsidR="00365C11" w:rsidRPr="00D216A4" w14:paraId="02F0F009" w14:textId="77777777" w:rsidTr="00D940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AABF59" w14:textId="3C795833" w:rsidR="00365C11" w:rsidRPr="00D216A4" w:rsidRDefault="00365C11" w:rsidP="00402105">
            <w:pPr>
              <w:pStyle w:val="BodyText"/>
              <w:ind w:left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Date</w:t>
            </w:r>
          </w:p>
        </w:tc>
        <w:tc>
          <w:tcPr>
            <w:tcW w:w="61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7B774C" w14:textId="1639789E" w:rsidR="00365C11" w:rsidRPr="00D216A4" w:rsidRDefault="00365C11" w:rsidP="00402105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Event Title</w:t>
            </w:r>
          </w:p>
        </w:tc>
        <w:tc>
          <w:tcPr>
            <w:tcW w:w="11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9C80C4" w14:textId="79143E2A" w:rsidR="00365C11" w:rsidRPr="00D216A4" w:rsidRDefault="00F61041" w:rsidP="00402105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Type</w:t>
            </w:r>
          </w:p>
        </w:tc>
        <w:tc>
          <w:tcPr>
            <w:tcW w:w="13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04B718" w14:textId="1DC306CC" w:rsidR="00D15FE6" w:rsidRPr="00D216A4" w:rsidRDefault="00D15FE6" w:rsidP="00402105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Views</w:t>
            </w:r>
          </w:p>
        </w:tc>
      </w:tr>
      <w:tr w:rsidR="00955E65" w:rsidRPr="000D65A5" w14:paraId="499064AC" w14:textId="77777777" w:rsidTr="00E35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6" w:type="dxa"/>
            <w:gridSpan w:val="4"/>
            <w:tcBorders>
              <w:bottom w:val="single" w:sz="4" w:space="0" w:color="auto"/>
            </w:tcBorders>
            <w:vAlign w:val="center"/>
          </w:tcPr>
          <w:p w14:paraId="0382BCC4" w14:textId="7E158D8D" w:rsidR="00955E65" w:rsidRPr="000D65A5" w:rsidRDefault="00955E65" w:rsidP="008D3F4F">
            <w:pPr>
              <w:pStyle w:val="BodyText"/>
              <w:spacing w:after="120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201</w:t>
            </w:r>
            <w:r w:rsidR="0066490E">
              <w:rPr>
                <w:rFonts w:cs="Arial"/>
                <w:color w:val="000000"/>
                <w:sz w:val="24"/>
                <w:szCs w:val="24"/>
              </w:rPr>
              <w:t>8</w:t>
            </w:r>
            <w:r>
              <w:rPr>
                <w:rFonts w:cs="Arial"/>
                <w:color w:val="000000"/>
                <w:sz w:val="24"/>
                <w:szCs w:val="24"/>
              </w:rPr>
              <w:t>-20</w:t>
            </w:r>
            <w:r w:rsidR="0066490E">
              <w:rPr>
                <w:rFonts w:cs="Arial"/>
                <w:color w:val="000000"/>
                <w:sz w:val="24"/>
                <w:szCs w:val="24"/>
              </w:rPr>
              <w:t>20</w:t>
            </w:r>
          </w:p>
        </w:tc>
      </w:tr>
      <w:tr w:rsidR="001D0588" w:rsidRPr="000D65A5" w14:paraId="3F9BE434" w14:textId="77777777" w:rsidTr="00164E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7DF8833B" w14:textId="46DD121D" w:rsidR="001D0588" w:rsidRPr="00EC1246" w:rsidRDefault="001D0588" w:rsidP="00164EBC">
            <w:pPr>
              <w:pStyle w:val="BodyText"/>
              <w:spacing w:after="120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9/29/20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61E6" w14:textId="251343C0" w:rsidR="001D0588" w:rsidRPr="00143C61" w:rsidRDefault="001D0588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D0588">
              <w:rPr>
                <w:rFonts w:cs="Arial"/>
                <w:color w:val="000000"/>
                <w:sz w:val="24"/>
                <w:szCs w:val="24"/>
              </w:rPr>
              <w:t xml:space="preserve">EMEA: Never a Dull Moment! The Latest Developments on </w:t>
            </w:r>
            <w:proofErr w:type="spellStart"/>
            <w:r w:rsidRPr="001D0588">
              <w:rPr>
                <w:rFonts w:cs="Arial"/>
                <w:color w:val="000000"/>
                <w:sz w:val="24"/>
                <w:szCs w:val="24"/>
              </w:rPr>
              <w:t>Schrems</w:t>
            </w:r>
            <w:proofErr w:type="spellEnd"/>
            <w:r w:rsidRPr="001D0588">
              <w:rPr>
                <w:rFonts w:cs="Arial"/>
                <w:color w:val="000000"/>
                <w:sz w:val="24"/>
                <w:szCs w:val="24"/>
              </w:rPr>
              <w:t xml:space="preserve"> II, Brexit, Enforcement and Class Actions in the EU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8AF2" w14:textId="6D71C3CB" w:rsidR="001D0588" w:rsidRDefault="001D0588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EMEA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263E5050" w14:textId="333C6DCB" w:rsidR="001D0588" w:rsidRDefault="0094048E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56</w:t>
            </w:r>
          </w:p>
        </w:tc>
      </w:tr>
      <w:tr w:rsidR="001D0588" w:rsidRPr="000D65A5" w14:paraId="27E2F43B" w14:textId="77777777" w:rsidTr="00164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5A8E823F" w14:textId="265D6DD1" w:rsidR="001D0588" w:rsidRPr="00EC1246" w:rsidRDefault="001D0588" w:rsidP="00164EBC">
            <w:pPr>
              <w:pStyle w:val="BodyText"/>
              <w:spacing w:after="120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9/24/20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7F2F" w14:textId="37C48934" w:rsidR="001D0588" w:rsidRPr="00143C61" w:rsidRDefault="001D0588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D0588">
              <w:rPr>
                <w:rFonts w:cs="Arial"/>
                <w:color w:val="000000"/>
                <w:sz w:val="24"/>
                <w:szCs w:val="24"/>
              </w:rPr>
              <w:t>Data in Asia:  Business Opportunities and Legal Risks During a Trade War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EED1" w14:textId="232FB778" w:rsidR="001D0588" w:rsidRDefault="001D0588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52447901" w14:textId="0AE6DC63" w:rsidR="001D0588" w:rsidRDefault="001D0588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14</w:t>
            </w:r>
          </w:p>
        </w:tc>
      </w:tr>
      <w:tr w:rsidR="001D0588" w:rsidRPr="000D65A5" w14:paraId="26B1C05D" w14:textId="77777777" w:rsidTr="00164E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48C03F3E" w14:textId="4C7E1544" w:rsidR="001D0588" w:rsidRPr="00EC1246" w:rsidRDefault="001D0588" w:rsidP="00164EBC">
            <w:pPr>
              <w:pStyle w:val="BodyText"/>
              <w:spacing w:after="120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lastRenderedPageBreak/>
              <w:t>9/24/20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1620" w14:textId="4832E30F" w:rsidR="001D0588" w:rsidRPr="00143C61" w:rsidRDefault="001D0588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D0588">
              <w:rPr>
                <w:rFonts w:cs="Arial"/>
                <w:color w:val="000000"/>
                <w:sz w:val="24"/>
                <w:szCs w:val="24"/>
              </w:rPr>
              <w:t>Litigation for Non-Litigators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92FB" w14:textId="1566F3C4" w:rsidR="001D0588" w:rsidRDefault="001D0588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4B9B7A5B" w14:textId="517BD48B" w:rsidR="001D0588" w:rsidRDefault="001D0588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70</w:t>
            </w:r>
          </w:p>
        </w:tc>
      </w:tr>
      <w:tr w:rsidR="00143C61" w:rsidRPr="000D65A5" w14:paraId="24CCD7B4" w14:textId="77777777" w:rsidTr="00164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386F69E3" w14:textId="0BCCF8AB" w:rsidR="00143C61" w:rsidRPr="00EC1246" w:rsidRDefault="00143C61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EC1246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9/16/20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0D7F" w14:textId="4748FFAD" w:rsidR="00143C61" w:rsidRPr="00164EBC" w:rsidRDefault="00143C61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3C61">
              <w:rPr>
                <w:rFonts w:cs="Arial"/>
                <w:color w:val="000000"/>
                <w:sz w:val="24"/>
                <w:szCs w:val="24"/>
              </w:rPr>
              <w:t>Energy Project Finance 101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876B" w14:textId="07D9748E" w:rsidR="00143C61" w:rsidRPr="00164EBC" w:rsidRDefault="00143C61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6E8FFC3E" w14:textId="374A248C" w:rsidR="00143C61" w:rsidRPr="00164EBC" w:rsidRDefault="001D0588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34</w:t>
            </w:r>
          </w:p>
        </w:tc>
      </w:tr>
      <w:tr w:rsidR="00164EBC" w:rsidRPr="000D65A5" w14:paraId="07120498" w14:textId="77777777" w:rsidTr="00164E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35BEF363" w14:textId="761FE9ED" w:rsidR="00164EBC" w:rsidRPr="00164EBC" w:rsidRDefault="00164EBC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8/19/20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E1D2" w14:textId="415E29E6" w:rsidR="00164EBC" w:rsidRDefault="00164EBC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 xml:space="preserve">Giving and Receiving Feedback: Why It Matters and How </w:t>
            </w:r>
            <w:proofErr w:type="gramStart"/>
            <w:r w:rsidRPr="00164EBC">
              <w:rPr>
                <w:rFonts w:cs="Arial"/>
                <w:color w:val="000000"/>
                <w:sz w:val="24"/>
                <w:szCs w:val="24"/>
              </w:rPr>
              <w:t>To</w:t>
            </w:r>
            <w:proofErr w:type="gramEnd"/>
            <w:r w:rsidRPr="00164EBC">
              <w:rPr>
                <w:rFonts w:cs="Arial"/>
                <w:color w:val="000000"/>
                <w:sz w:val="24"/>
                <w:szCs w:val="24"/>
              </w:rPr>
              <w:t xml:space="preserve"> Do It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32B9" w14:textId="547A3FAF" w:rsidR="00164EBC" w:rsidRDefault="00164EBC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269D9962" w14:textId="70EA0253" w:rsidR="00164EBC" w:rsidRDefault="00164EBC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37</w:t>
            </w:r>
          </w:p>
        </w:tc>
      </w:tr>
      <w:tr w:rsidR="00164EBC" w:rsidRPr="000D65A5" w14:paraId="077AF4E6" w14:textId="77777777" w:rsidTr="00164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5946F357" w14:textId="5C681D9E" w:rsidR="00164EBC" w:rsidRPr="00164EBC" w:rsidRDefault="00164EBC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7/15/20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2C52" w14:textId="21450CCB" w:rsidR="00164EBC" w:rsidRDefault="00164EBC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JV 101 – Negotiating Energy Project Joint Ventures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05DB" w14:textId="71088BC7" w:rsidR="00164EBC" w:rsidRDefault="00164EBC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603C61A6" w14:textId="6FE74ECC" w:rsidR="00164EBC" w:rsidRDefault="00164EBC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44</w:t>
            </w:r>
          </w:p>
        </w:tc>
      </w:tr>
      <w:tr w:rsidR="00164EBC" w:rsidRPr="000D65A5" w14:paraId="7BDC1710" w14:textId="77777777" w:rsidTr="00164E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1311DBFF" w14:textId="17C6CB8B" w:rsidR="00164EBC" w:rsidRPr="00164EBC" w:rsidRDefault="00164EBC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6/17/20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8135" w14:textId="407B4878" w:rsidR="00164EBC" w:rsidRDefault="00164EBC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EPC 101: Essentials of Engineering, Procurement and Construction Contracts for Energy Projects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913E" w14:textId="54980D8B" w:rsidR="00164EBC" w:rsidRDefault="00164EBC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5D6EB9D5" w14:textId="684C6130" w:rsidR="00164EBC" w:rsidRDefault="00164EBC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58</w:t>
            </w:r>
          </w:p>
        </w:tc>
      </w:tr>
      <w:tr w:rsidR="00164EBC" w:rsidRPr="000D65A5" w14:paraId="056B4155" w14:textId="77777777" w:rsidTr="00164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6DF03664" w14:textId="55396A85" w:rsidR="00164EBC" w:rsidRPr="00164EBC" w:rsidRDefault="00164EBC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6/16/20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81E1" w14:textId="16B8425E" w:rsidR="00164EBC" w:rsidRDefault="00164EBC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Crisis control: Effectively managing teams and protecting organizations in the era of COVID-19 cyber-attacks and insider threats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FC8" w14:textId="35D6BFA7" w:rsidR="00164EBC" w:rsidRDefault="00164EBC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731EF35E" w14:textId="0A8349A8" w:rsidR="00164EBC" w:rsidRDefault="00164EBC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12</w:t>
            </w:r>
          </w:p>
        </w:tc>
      </w:tr>
      <w:tr w:rsidR="00164EBC" w:rsidRPr="000D65A5" w14:paraId="48B691AF" w14:textId="77777777" w:rsidTr="00164E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7EB607CE" w14:textId="69AD594B" w:rsidR="00164EBC" w:rsidRPr="00164EBC" w:rsidRDefault="00164EBC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5/20/20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774D" w14:textId="3A4772FB" w:rsidR="00164EBC" w:rsidRDefault="00164EBC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FERC 101: An Introduction to Natural Gas Regulation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9C6B" w14:textId="6212CDC4" w:rsidR="00164EBC" w:rsidRDefault="00164EBC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5C1C675F" w14:textId="066CB618" w:rsidR="00164EBC" w:rsidRDefault="00164EBC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25</w:t>
            </w:r>
          </w:p>
        </w:tc>
      </w:tr>
      <w:tr w:rsidR="00164EBC" w:rsidRPr="000D65A5" w14:paraId="2190C702" w14:textId="77777777" w:rsidTr="00164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1EFFCF2D" w14:textId="13925AB0" w:rsidR="00164EBC" w:rsidRPr="00164EBC" w:rsidRDefault="00164EBC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5/1/20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BAB4" w14:textId="70ADCC9B" w:rsidR="00164EBC" w:rsidRDefault="00164EBC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Post-COVID-19 Return-to-Work Planning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5E8F" w14:textId="568F38C3" w:rsidR="00164EBC" w:rsidRDefault="00164EBC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5896859D" w14:textId="4F8184C1" w:rsidR="00164EBC" w:rsidRDefault="00164EBC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70</w:t>
            </w:r>
          </w:p>
        </w:tc>
      </w:tr>
      <w:tr w:rsidR="00164EBC" w:rsidRPr="000D65A5" w14:paraId="39D6D4FF" w14:textId="77777777" w:rsidTr="00164E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4A2F4B94" w14:textId="36CEB9E1" w:rsidR="00164EBC" w:rsidRPr="00164EBC" w:rsidRDefault="00164EBC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4/29/20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3AEB" w14:textId="33BDB771" w:rsidR="00164EBC" w:rsidRDefault="00164EBC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Here We Go Again: Bankruptcy Issues from the Oil Patch and Beyond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0E28" w14:textId="10334791" w:rsidR="00164EBC" w:rsidRDefault="00164EBC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3833E4A1" w14:textId="1A4D2D2A" w:rsidR="00164EBC" w:rsidRDefault="00164EBC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27</w:t>
            </w:r>
          </w:p>
        </w:tc>
      </w:tr>
      <w:tr w:rsidR="00164EBC" w:rsidRPr="000D65A5" w14:paraId="68D663D0" w14:textId="77777777" w:rsidTr="00164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01B612AE" w14:textId="1DCA7389" w:rsidR="00164EBC" w:rsidRPr="00164EBC" w:rsidRDefault="00164EBC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4/15/20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6119" w14:textId="7ABF08FC" w:rsidR="00164EBC" w:rsidRDefault="00164EBC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Federal Energy Regulatory Commission (FERC) 101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C549" w14:textId="0DC8B0EC" w:rsidR="00164EBC" w:rsidRDefault="00164EBC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6821841E" w14:textId="67380D7F" w:rsidR="00164EBC" w:rsidRDefault="00164EBC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36</w:t>
            </w:r>
          </w:p>
        </w:tc>
      </w:tr>
      <w:tr w:rsidR="00164EBC" w:rsidRPr="000D65A5" w14:paraId="0C9A4B2A" w14:textId="77777777" w:rsidTr="00164E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03C01881" w14:textId="6C6AB114" w:rsidR="00164EBC" w:rsidRPr="00164EBC" w:rsidRDefault="00164EBC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3/18/20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C97" w14:textId="54183457" w:rsidR="00164EBC" w:rsidRDefault="00164EBC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COVID-19 and Force Majeure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E1BE" w14:textId="3F9CD2FC" w:rsidR="00164EBC" w:rsidRDefault="00164EBC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17CC1DA7" w14:textId="7E56DE2B" w:rsidR="00164EBC" w:rsidRDefault="00164EBC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116</w:t>
            </w:r>
          </w:p>
        </w:tc>
      </w:tr>
      <w:tr w:rsidR="00164EBC" w:rsidRPr="000D65A5" w14:paraId="1C5F4140" w14:textId="77777777" w:rsidTr="00164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16424647" w14:textId="6596028B" w:rsidR="00164EBC" w:rsidRPr="00164EBC" w:rsidRDefault="00164EBC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12/18/19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D83B" w14:textId="46EC7021" w:rsidR="00164EBC" w:rsidRDefault="00164EBC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Tariffs and Construction Contracts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F906" w14:textId="77966F76" w:rsidR="00164EBC" w:rsidRDefault="00164EBC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2FA30764" w14:textId="613EFB06" w:rsidR="00164EBC" w:rsidRDefault="00164EBC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30</w:t>
            </w:r>
          </w:p>
        </w:tc>
      </w:tr>
      <w:tr w:rsidR="00164EBC" w:rsidRPr="000D65A5" w14:paraId="291327AC" w14:textId="77777777" w:rsidTr="00164E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0D56F764" w14:textId="48310A71" w:rsidR="00164EBC" w:rsidRPr="00164EBC" w:rsidRDefault="00164EBC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2/19/20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6136" w14:textId="1C6A7528" w:rsidR="00164EBC" w:rsidRDefault="00164EBC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A Briefing on the Proposed Rulemaking on Federal Speculative Position Limits for Physical Commodities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4311" w14:textId="3B1D4CC8" w:rsidR="00164EBC" w:rsidRDefault="00164EBC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65848C9C" w14:textId="6E1778E8" w:rsidR="00164EBC" w:rsidRDefault="00164EBC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164EBC" w:rsidRPr="000D65A5" w14:paraId="3C13D9DC" w14:textId="77777777" w:rsidTr="00164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5EE5B3A5" w14:textId="15865DD6" w:rsidR="00164EBC" w:rsidRPr="00164EBC" w:rsidRDefault="00164EBC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1/15/20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A9B1" w14:textId="5ECA9077" w:rsidR="00164EBC" w:rsidRDefault="00164EBC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The Fight for Control - Power Contracts in Bankruptcy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C298" w14:textId="1C150823" w:rsidR="00164EBC" w:rsidRDefault="00164EBC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1EB90C26" w14:textId="6DE5F78F" w:rsidR="00164EBC" w:rsidRDefault="00164EBC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18</w:t>
            </w:r>
          </w:p>
        </w:tc>
      </w:tr>
      <w:tr w:rsidR="00164EBC" w:rsidRPr="000D65A5" w14:paraId="678C7DF9" w14:textId="77777777" w:rsidTr="00164E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60998E68" w14:textId="2A5728C7" w:rsidR="00164EBC" w:rsidRPr="00164EBC" w:rsidRDefault="00164EBC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11/20/19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228A" w14:textId="6CC42FA2" w:rsidR="00164EBC" w:rsidRDefault="00164EBC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Tone from the Top: Fostering a Culture of Innovation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0483" w14:textId="3D6455C9" w:rsidR="00164EBC" w:rsidRDefault="00164EBC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2A4D0383" w14:textId="4D3BC447" w:rsidR="00164EBC" w:rsidRDefault="00164EBC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64EBC">
              <w:rPr>
                <w:rFonts w:cs="Arial"/>
                <w:color w:val="000000"/>
                <w:sz w:val="24"/>
                <w:szCs w:val="24"/>
              </w:rPr>
              <w:t>30</w:t>
            </w:r>
          </w:p>
        </w:tc>
      </w:tr>
      <w:tr w:rsidR="004B6981" w:rsidRPr="000D65A5" w14:paraId="37355688" w14:textId="77777777" w:rsidTr="00164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07B6F1C0" w14:textId="7E2110E5" w:rsidR="004B6981" w:rsidRPr="004B6981" w:rsidRDefault="004B6981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4B698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9/4/2019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66A" w14:textId="50804990" w:rsidR="004B6981" w:rsidRPr="00896979" w:rsidRDefault="004B6981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The New Carbon Capture and Sequestration Credit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94D0" w14:textId="18B2FD60" w:rsidR="004B6981" w:rsidRPr="00896979" w:rsidRDefault="004B6981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1D6E9ACC" w14:textId="45F9EC32" w:rsidR="004B6981" w:rsidRPr="00896979" w:rsidRDefault="004B6981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17</w:t>
            </w:r>
          </w:p>
        </w:tc>
      </w:tr>
      <w:tr w:rsidR="00896979" w:rsidRPr="000D65A5" w14:paraId="4EDFD85C" w14:textId="77777777" w:rsidTr="00164E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2E1F41C5" w14:textId="02924F5E" w:rsidR="00896979" w:rsidRPr="00896979" w:rsidRDefault="00896979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8/21/2019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EACD" w14:textId="41FB7D13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To Be or Not to Be: Judicial (Chevron) Deference in Tax Controversies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71D9" w14:textId="67FA1705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52E24E3A" w14:textId="005218DA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896979" w:rsidRPr="000D65A5" w14:paraId="385BCE24" w14:textId="77777777" w:rsidTr="00164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7C7C0F0B" w14:textId="6890043D" w:rsidR="00896979" w:rsidRPr="00896979" w:rsidRDefault="00896979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6/19/2019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2018" w14:textId="77FF75F8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Developments in Taxing the Digital Economy in the Energy Sector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FF61" w14:textId="1E5DA335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3C8AEABB" w14:textId="094AE254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896979" w:rsidRPr="000D65A5" w14:paraId="0489E781" w14:textId="77777777" w:rsidTr="00164E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6C4CF2E8" w14:textId="18D95B3A" w:rsidR="00896979" w:rsidRPr="00896979" w:rsidRDefault="00896979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5/15/2019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9468" w14:textId="658D8813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The Intercontinental Terminals Company Catastrophe and the Economic Loss Rule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49CC" w14:textId="01AA301A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3FC50627" w14:textId="7903F7D6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22</w:t>
            </w:r>
          </w:p>
        </w:tc>
      </w:tr>
      <w:tr w:rsidR="00896979" w:rsidRPr="000D65A5" w14:paraId="5CCFF180" w14:textId="77777777" w:rsidTr="00164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3982F177" w14:textId="2847B4E5" w:rsidR="00896979" w:rsidRPr="00896979" w:rsidRDefault="00896979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4/17/2019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4582" w14:textId="61F386A3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IMO 2020: Navigating Compliance and Enforcement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7FEB" w14:textId="56810610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16191F3C" w14:textId="2ED26E67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</w:tr>
      <w:tr w:rsidR="00896979" w:rsidRPr="000D65A5" w14:paraId="406A4079" w14:textId="77777777" w:rsidTr="00164E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68141EA7" w14:textId="59E2300C" w:rsidR="00896979" w:rsidRPr="00896979" w:rsidRDefault="00896979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3/20/2019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DFC1" w14:textId="555A12E7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TSCA 101 for Renewable Fuels and Beyond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EF52" w14:textId="7B93F9E3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4CD5C819" w14:textId="76E66EB9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19</w:t>
            </w:r>
          </w:p>
        </w:tc>
      </w:tr>
      <w:tr w:rsidR="00896979" w:rsidRPr="000D65A5" w14:paraId="25C44C9C" w14:textId="77777777" w:rsidTr="00164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43730089" w14:textId="0132B9C1" w:rsidR="00896979" w:rsidRPr="00896979" w:rsidRDefault="00896979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2/20/2019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70BF" w14:textId="120CCF0C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About Face: Biometric Information, Digital Identity, and the Legal Implications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1538" w14:textId="106FC01A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544CEA45" w14:textId="2A296207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16</w:t>
            </w:r>
          </w:p>
        </w:tc>
      </w:tr>
      <w:tr w:rsidR="00896979" w:rsidRPr="000D65A5" w14:paraId="6C151AB1" w14:textId="77777777" w:rsidTr="00164E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76BBB397" w14:textId="10A267B2" w:rsidR="00896979" w:rsidRPr="00896979" w:rsidRDefault="00896979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1/16/2019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AD88" w14:textId="4170DBE3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US Sanctions: Understanding Recent Changes and Developing a Compliance Plan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EFAF" w14:textId="21B068D9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587DC5AB" w14:textId="07B312AB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31</w:t>
            </w:r>
          </w:p>
        </w:tc>
      </w:tr>
      <w:tr w:rsidR="00896979" w:rsidRPr="000D65A5" w14:paraId="2FB3E140" w14:textId="77777777" w:rsidTr="00164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00ADF5E3" w14:textId="7BDFE8AF" w:rsidR="00896979" w:rsidRPr="00896979" w:rsidRDefault="00896979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12/19/2018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A310" w14:textId="57EE751D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 xml:space="preserve">FERC Moves to Limit Acquisitions Requiring Preapproval: </w:t>
            </w:r>
            <w:r w:rsidRPr="00896979">
              <w:rPr>
                <w:rFonts w:cs="Arial"/>
                <w:color w:val="000000"/>
                <w:sz w:val="24"/>
                <w:szCs w:val="24"/>
              </w:rPr>
              <w:lastRenderedPageBreak/>
              <w:t>Summary and Key Takeaways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6CFD" w14:textId="720FB6F8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lastRenderedPageBreak/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2E9BF287" w14:textId="5FEB3556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896979" w:rsidRPr="000D65A5" w14:paraId="7BCDF6AA" w14:textId="77777777" w:rsidTr="00164E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14:paraId="22D518ED" w14:textId="5D6A1E26" w:rsidR="00896979" w:rsidRPr="00896979" w:rsidRDefault="00896979" w:rsidP="00164EBC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11/28/2018</w:t>
            </w:r>
          </w:p>
        </w:tc>
        <w:tc>
          <w:tcPr>
            <w:tcW w:w="6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EE8F" w14:textId="4B1385F3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Answering the Energy Storage Question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DDD2" w14:textId="47069591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3D9798CE" w14:textId="62A4B0CB" w:rsidR="00896979" w:rsidRPr="00896979" w:rsidRDefault="00896979" w:rsidP="00164EBC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96979">
              <w:rPr>
                <w:rFonts w:cs="Arial"/>
                <w:color w:val="000000"/>
                <w:sz w:val="24"/>
                <w:szCs w:val="24"/>
              </w:rPr>
              <w:t>19</w:t>
            </w:r>
          </w:p>
        </w:tc>
      </w:tr>
    </w:tbl>
    <w:p w14:paraId="42AE0C20" w14:textId="77777777" w:rsidR="00402105" w:rsidRPr="00D216A4" w:rsidRDefault="00402105" w:rsidP="00402105">
      <w:pPr>
        <w:pStyle w:val="BodyText"/>
        <w:ind w:left="0"/>
        <w:rPr>
          <w:sz w:val="24"/>
          <w:szCs w:val="24"/>
        </w:rPr>
      </w:pPr>
    </w:p>
    <w:p w14:paraId="2A13F6C0" w14:textId="7979E201" w:rsidR="00402105" w:rsidRPr="00D216A4" w:rsidRDefault="00F75D4E" w:rsidP="00D7205D">
      <w:pPr>
        <w:pStyle w:val="Heading1"/>
        <w:ind w:left="0"/>
        <w:rPr>
          <w:caps/>
          <w:sz w:val="24"/>
          <w:szCs w:val="24"/>
        </w:rPr>
      </w:pPr>
      <w:r>
        <w:rPr>
          <w:caps/>
          <w:sz w:val="24"/>
          <w:szCs w:val="24"/>
        </w:rPr>
        <w:t>201</w:t>
      </w:r>
      <w:r w:rsidR="00164EBC">
        <w:rPr>
          <w:caps/>
          <w:sz w:val="24"/>
          <w:szCs w:val="24"/>
        </w:rPr>
        <w:t>8</w:t>
      </w:r>
      <w:r w:rsidR="00955E65">
        <w:rPr>
          <w:caps/>
          <w:sz w:val="24"/>
          <w:szCs w:val="24"/>
        </w:rPr>
        <w:t>-20</w:t>
      </w:r>
      <w:r w:rsidR="00164EBC">
        <w:rPr>
          <w:caps/>
          <w:sz w:val="24"/>
          <w:szCs w:val="24"/>
        </w:rPr>
        <w:t>20</w:t>
      </w:r>
      <w:r w:rsidR="00F37D5A">
        <w:rPr>
          <w:caps/>
          <w:sz w:val="24"/>
          <w:szCs w:val="24"/>
        </w:rPr>
        <w:t xml:space="preserve"> </w:t>
      </w:r>
      <w:r w:rsidR="00B86204">
        <w:rPr>
          <w:caps/>
          <w:sz w:val="24"/>
          <w:szCs w:val="24"/>
        </w:rPr>
        <w:t xml:space="preserve">Popular </w:t>
      </w:r>
      <w:r w:rsidR="00F37D5A">
        <w:rPr>
          <w:caps/>
          <w:sz w:val="24"/>
          <w:szCs w:val="24"/>
        </w:rPr>
        <w:t>ENERGY</w:t>
      </w:r>
      <w:r w:rsidR="00402105" w:rsidRPr="00D216A4">
        <w:rPr>
          <w:caps/>
          <w:sz w:val="24"/>
          <w:szCs w:val="24"/>
        </w:rPr>
        <w:t xml:space="preserve"> </w:t>
      </w:r>
      <w:r w:rsidR="00B86204">
        <w:rPr>
          <w:caps/>
          <w:sz w:val="24"/>
          <w:szCs w:val="24"/>
        </w:rPr>
        <w:t>Legal Resources</w:t>
      </w:r>
      <w:r w:rsidR="00390551">
        <w:rPr>
          <w:caps/>
          <w:sz w:val="24"/>
          <w:szCs w:val="24"/>
        </w:rPr>
        <w:br/>
      </w:r>
      <w:r w:rsidR="00390551">
        <w:rPr>
          <w:rFonts w:ascii="Arial" w:hAnsi="Arial"/>
          <w:i/>
          <w:szCs w:val="22"/>
        </w:rPr>
        <w:t>(</w:t>
      </w:r>
      <w:r w:rsidR="00390551" w:rsidRPr="00DA3748">
        <w:rPr>
          <w:rFonts w:ascii="Arial" w:hAnsi="Arial"/>
          <w:i/>
          <w:szCs w:val="22"/>
        </w:rPr>
        <w:t>The resources below</w:t>
      </w:r>
      <w:r w:rsidR="00390551">
        <w:rPr>
          <w:rFonts w:ascii="Arial" w:hAnsi="Arial"/>
          <w:i/>
          <w:szCs w:val="22"/>
        </w:rPr>
        <w:t xml:space="preserve"> include all resources during the period will 100 or more views.)</w:t>
      </w:r>
    </w:p>
    <w:tbl>
      <w:tblPr>
        <w:tblStyle w:val="MediumShading1"/>
        <w:tblW w:w="9859" w:type="dxa"/>
        <w:tblLook w:val="04A0" w:firstRow="1" w:lastRow="0" w:firstColumn="1" w:lastColumn="0" w:noHBand="0" w:noVBand="1"/>
      </w:tblPr>
      <w:tblGrid>
        <w:gridCol w:w="6995"/>
        <w:gridCol w:w="160"/>
        <w:gridCol w:w="80"/>
        <w:gridCol w:w="1571"/>
        <w:gridCol w:w="1053"/>
      </w:tblGrid>
      <w:tr w:rsidR="005D4F4E" w:rsidRPr="00D216A4" w14:paraId="436000F1" w14:textId="77777777" w:rsidTr="004E0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5" w:type="dxa"/>
            <w:gridSpan w:val="2"/>
          </w:tcPr>
          <w:p w14:paraId="5EB25055" w14:textId="77777777" w:rsidR="005D4F4E" w:rsidRPr="00D216A4" w:rsidRDefault="005D4F4E" w:rsidP="0077497E">
            <w:pPr>
              <w:pStyle w:val="BodyText"/>
              <w:ind w:left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Resource Title</w:t>
            </w:r>
          </w:p>
        </w:tc>
        <w:tc>
          <w:tcPr>
            <w:tcW w:w="1651" w:type="dxa"/>
            <w:gridSpan w:val="2"/>
          </w:tcPr>
          <w:p w14:paraId="79C0BE64" w14:textId="77777777" w:rsidR="005D4F4E" w:rsidRPr="00D216A4" w:rsidRDefault="005D4F4E" w:rsidP="0077497E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Resource Type</w:t>
            </w:r>
          </w:p>
        </w:tc>
        <w:tc>
          <w:tcPr>
            <w:tcW w:w="1053" w:type="dxa"/>
          </w:tcPr>
          <w:p w14:paraId="725509A5" w14:textId="77777777" w:rsidR="005D4F4E" w:rsidRPr="00D216A4" w:rsidRDefault="005D4F4E" w:rsidP="0077497E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Views</w:t>
            </w:r>
          </w:p>
        </w:tc>
      </w:tr>
      <w:tr w:rsidR="005C75A7" w:rsidRPr="0004580B" w14:paraId="3222E922" w14:textId="77777777" w:rsidTr="004E0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5" w:type="dxa"/>
            <w:tcBorders>
              <w:bottom w:val="single" w:sz="8" w:space="0" w:color="404040"/>
            </w:tcBorders>
          </w:tcPr>
          <w:p w14:paraId="4C536C7B" w14:textId="7786BDC9" w:rsidR="005C75A7" w:rsidRDefault="005C75A7" w:rsidP="00A67E15">
            <w:pPr>
              <w:pStyle w:val="BodyText"/>
              <w:spacing w:after="120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201</w:t>
            </w:r>
            <w:r w:rsidR="0064243C">
              <w:rPr>
                <w:rFonts w:cs="Arial"/>
                <w:sz w:val="24"/>
                <w:szCs w:val="24"/>
              </w:rPr>
              <w:t>9</w:t>
            </w:r>
            <w:r>
              <w:rPr>
                <w:rFonts w:cs="Arial"/>
                <w:sz w:val="24"/>
                <w:szCs w:val="24"/>
              </w:rPr>
              <w:t>-20</w:t>
            </w:r>
            <w:r w:rsidR="0064243C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240" w:type="dxa"/>
            <w:gridSpan w:val="2"/>
            <w:tcBorders>
              <w:bottom w:val="single" w:sz="8" w:space="0" w:color="404040"/>
            </w:tcBorders>
          </w:tcPr>
          <w:p w14:paraId="37758CFE" w14:textId="77777777" w:rsidR="005C75A7" w:rsidRPr="000D65A5" w:rsidRDefault="005C75A7" w:rsidP="00A67E15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1" w:type="dxa"/>
            <w:tcBorders>
              <w:bottom w:val="single" w:sz="8" w:space="0" w:color="404040"/>
            </w:tcBorders>
          </w:tcPr>
          <w:p w14:paraId="33AEABBD" w14:textId="77777777" w:rsidR="005C75A7" w:rsidRPr="000D65A5" w:rsidRDefault="005C75A7" w:rsidP="00A67E15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3" w:type="dxa"/>
            <w:tcBorders>
              <w:bottom w:val="single" w:sz="8" w:space="0" w:color="404040"/>
            </w:tcBorders>
          </w:tcPr>
          <w:p w14:paraId="4EFF45BB" w14:textId="77777777" w:rsidR="005C75A7" w:rsidRPr="000D65A5" w:rsidRDefault="005C75A7" w:rsidP="00A67E15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E0888" w:rsidRPr="0004580B" w14:paraId="0682CB0F" w14:textId="77777777" w:rsidTr="004E08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5" w:type="dxa"/>
            <w:gridSpan w:val="2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</w:tcPr>
          <w:p w14:paraId="10B1957E" w14:textId="58DCA9B5" w:rsidR="004E0888" w:rsidRPr="000D65A5" w:rsidRDefault="00C32D99" w:rsidP="00A67E15">
            <w:pPr>
              <w:pStyle w:val="BodyText"/>
              <w:spacing w:after="120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No Resources Submitted</w:t>
            </w:r>
          </w:p>
        </w:tc>
        <w:tc>
          <w:tcPr>
            <w:tcW w:w="1651" w:type="dxa"/>
            <w:gridSpan w:val="2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</w:tcPr>
          <w:p w14:paraId="07C0AACA" w14:textId="24677526" w:rsidR="004E0888" w:rsidRPr="000D65A5" w:rsidRDefault="004E0888" w:rsidP="00A67E15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</w:tcPr>
          <w:p w14:paraId="0564C915" w14:textId="7E15B26E" w:rsidR="004E0888" w:rsidRPr="000D65A5" w:rsidRDefault="004E0888" w:rsidP="00A67E15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C32D99" w:rsidRPr="0004580B" w14:paraId="791EC0AF" w14:textId="77777777" w:rsidTr="004E0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5" w:type="dxa"/>
            <w:tcBorders>
              <w:top w:val="single" w:sz="8" w:space="0" w:color="404040"/>
              <w:bottom w:val="single" w:sz="4" w:space="0" w:color="404040" w:themeColor="text1" w:themeTint="BF"/>
            </w:tcBorders>
          </w:tcPr>
          <w:p w14:paraId="0864BCF8" w14:textId="0918AEDA" w:rsidR="00C32D99" w:rsidRPr="000D65A5" w:rsidRDefault="00C32D99" w:rsidP="00C32D99">
            <w:pPr>
              <w:pStyle w:val="BodyText"/>
              <w:spacing w:after="120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201</w:t>
            </w:r>
            <w:r w:rsidR="0064243C">
              <w:rPr>
                <w:rFonts w:cs="Arial"/>
                <w:sz w:val="24"/>
                <w:szCs w:val="24"/>
              </w:rPr>
              <w:t>8</w:t>
            </w:r>
            <w:r>
              <w:rPr>
                <w:rFonts w:cs="Arial"/>
                <w:sz w:val="24"/>
                <w:szCs w:val="24"/>
              </w:rPr>
              <w:t>-201</w:t>
            </w:r>
            <w:r w:rsidR="0064243C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240" w:type="dxa"/>
            <w:gridSpan w:val="2"/>
            <w:tcBorders>
              <w:top w:val="single" w:sz="8" w:space="0" w:color="404040"/>
              <w:bottom w:val="single" w:sz="4" w:space="0" w:color="404040" w:themeColor="text1" w:themeTint="BF"/>
            </w:tcBorders>
          </w:tcPr>
          <w:p w14:paraId="1BB21FAE" w14:textId="77777777" w:rsidR="00C32D99" w:rsidRPr="000D65A5" w:rsidRDefault="00C32D99" w:rsidP="00C32D99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404040"/>
              <w:bottom w:val="single" w:sz="4" w:space="0" w:color="404040" w:themeColor="text1" w:themeTint="BF"/>
            </w:tcBorders>
          </w:tcPr>
          <w:p w14:paraId="1B7628C9" w14:textId="77777777" w:rsidR="00C32D99" w:rsidRPr="000D65A5" w:rsidRDefault="00C32D99" w:rsidP="00C32D99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8" w:space="0" w:color="404040"/>
              <w:bottom w:val="single" w:sz="4" w:space="0" w:color="404040" w:themeColor="text1" w:themeTint="BF"/>
            </w:tcBorders>
          </w:tcPr>
          <w:p w14:paraId="1F0760F1" w14:textId="77777777" w:rsidR="00C32D99" w:rsidRPr="000D65A5" w:rsidRDefault="00C32D99" w:rsidP="00C32D99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C32D99" w:rsidRPr="00A87275" w14:paraId="4D9B843A" w14:textId="77777777" w:rsidTr="005B3F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5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4875253" w14:textId="6877591B" w:rsidR="00C32D99" w:rsidRPr="000D65A5" w:rsidRDefault="0064243C" w:rsidP="00C32D99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No Resources Submitted</w:t>
            </w:r>
          </w:p>
        </w:tc>
        <w:tc>
          <w:tcPr>
            <w:tcW w:w="1651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66DF952" w14:textId="3F911F5E" w:rsidR="00C32D99" w:rsidRPr="000D65A5" w:rsidRDefault="00C32D99" w:rsidP="00C32D99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40276FC" w14:textId="1F19E5C9" w:rsidR="00C32D99" w:rsidRPr="000D65A5" w:rsidRDefault="00C32D99" w:rsidP="00C32D99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761267F1" w14:textId="77777777" w:rsidR="00402105" w:rsidRPr="00D216A4" w:rsidRDefault="00402105" w:rsidP="00402105">
      <w:pPr>
        <w:pStyle w:val="BodyText"/>
        <w:ind w:left="0"/>
        <w:rPr>
          <w:sz w:val="24"/>
          <w:szCs w:val="24"/>
        </w:rPr>
      </w:pPr>
    </w:p>
    <w:p w14:paraId="3B2A6DEE" w14:textId="51212F69" w:rsidR="00402105" w:rsidRPr="000D65A5" w:rsidRDefault="00402105" w:rsidP="00F802A6">
      <w:pPr>
        <w:ind w:left="0"/>
        <w:rPr>
          <w:rFonts w:ascii="Arial Black" w:hAnsi="Arial Black"/>
          <w:caps/>
          <w:sz w:val="24"/>
          <w:szCs w:val="24"/>
        </w:rPr>
      </w:pPr>
      <w:r w:rsidRPr="000D65A5">
        <w:rPr>
          <w:rFonts w:ascii="Arial Black" w:hAnsi="Arial Black"/>
          <w:caps/>
          <w:sz w:val="24"/>
          <w:szCs w:val="24"/>
        </w:rPr>
        <w:t xml:space="preserve">Popular </w:t>
      </w:r>
      <w:r w:rsidR="002972C1" w:rsidRPr="000D65A5">
        <w:rPr>
          <w:rFonts w:ascii="Arial Black" w:hAnsi="Arial Black"/>
          <w:caps/>
          <w:sz w:val="24"/>
          <w:szCs w:val="24"/>
        </w:rPr>
        <w:t>Energy</w:t>
      </w:r>
      <w:r w:rsidRPr="000D65A5">
        <w:rPr>
          <w:rFonts w:ascii="Arial Black" w:hAnsi="Arial Black"/>
          <w:caps/>
          <w:sz w:val="24"/>
          <w:szCs w:val="24"/>
        </w:rPr>
        <w:t xml:space="preserve"> eGroup Discussion Topics</w:t>
      </w:r>
      <w:r w:rsidR="00390551">
        <w:rPr>
          <w:rFonts w:ascii="Arial Black" w:hAnsi="Arial Black"/>
          <w:caps/>
          <w:sz w:val="24"/>
          <w:szCs w:val="24"/>
        </w:rPr>
        <w:br/>
      </w:r>
      <w:r w:rsidR="00390551">
        <w:rPr>
          <w:i/>
          <w:szCs w:val="22"/>
        </w:rPr>
        <w:t>(</w:t>
      </w:r>
      <w:r w:rsidR="00390551" w:rsidRPr="00DA3748">
        <w:rPr>
          <w:i/>
          <w:sz w:val="22"/>
          <w:szCs w:val="22"/>
        </w:rPr>
        <w:t xml:space="preserve">The </w:t>
      </w:r>
      <w:r w:rsidR="00390551">
        <w:rPr>
          <w:i/>
          <w:szCs w:val="22"/>
        </w:rPr>
        <w:t>topics</w:t>
      </w:r>
      <w:r w:rsidR="00390551" w:rsidRPr="00DA3748">
        <w:rPr>
          <w:i/>
          <w:sz w:val="22"/>
          <w:szCs w:val="22"/>
        </w:rPr>
        <w:t xml:space="preserve"> below</w:t>
      </w:r>
      <w:r w:rsidR="00390551">
        <w:rPr>
          <w:i/>
          <w:szCs w:val="22"/>
        </w:rPr>
        <w:t xml:space="preserve"> include all substantive </w:t>
      </w:r>
      <w:proofErr w:type="spellStart"/>
      <w:r w:rsidR="00390551">
        <w:rPr>
          <w:i/>
          <w:szCs w:val="22"/>
        </w:rPr>
        <w:t>eGroup</w:t>
      </w:r>
      <w:proofErr w:type="spellEnd"/>
      <w:r w:rsidR="00390551">
        <w:rPr>
          <w:i/>
          <w:szCs w:val="22"/>
        </w:rPr>
        <w:t xml:space="preserve"> discussions during the period with </w:t>
      </w:r>
      <w:r w:rsidR="00BF3D35">
        <w:rPr>
          <w:i/>
          <w:szCs w:val="22"/>
        </w:rPr>
        <w:t>two or more comments in the thread</w:t>
      </w:r>
      <w:r w:rsidR="00390551">
        <w:rPr>
          <w:i/>
          <w:szCs w:val="22"/>
        </w:rPr>
        <w:t>.)</w:t>
      </w:r>
    </w:p>
    <w:p w14:paraId="7C1A8ECE" w14:textId="77777777" w:rsidR="00F802A6" w:rsidRPr="00F802A6" w:rsidRDefault="00F802A6" w:rsidP="00F802A6">
      <w:pPr>
        <w:ind w:left="0"/>
        <w:rPr>
          <w:rFonts w:ascii="Arial Black" w:hAnsi="Arial Black"/>
          <w:b/>
          <w:caps/>
          <w:spacing w:val="-10"/>
          <w:kern w:val="28"/>
          <w:sz w:val="24"/>
          <w:szCs w:val="24"/>
        </w:rPr>
      </w:pPr>
    </w:p>
    <w:tbl>
      <w:tblPr>
        <w:tblStyle w:val="MediumShading1"/>
        <w:tblW w:w="1018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8820"/>
      </w:tblGrid>
      <w:tr w:rsidR="00A501DF" w14:paraId="1A0AE476" w14:textId="5E93B08F" w:rsidTr="00691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bottom w:val="single" w:sz="4" w:space="0" w:color="404040" w:themeColor="text1" w:themeTint="BF"/>
            </w:tcBorders>
            <w:vAlign w:val="center"/>
          </w:tcPr>
          <w:p w14:paraId="0870EBAE" w14:textId="6C3E285F" w:rsidR="00A501DF" w:rsidRPr="00D940DC" w:rsidRDefault="00A501DF" w:rsidP="00A501DF">
            <w:pPr>
              <w:pStyle w:val="BodyText"/>
              <w:ind w:left="0"/>
              <w:jc w:val="center"/>
              <w:rPr>
                <w:rFonts w:asciiTheme="majorHAnsi" w:hAnsiTheme="majorHAnsi"/>
              </w:rPr>
            </w:pPr>
            <w:r w:rsidRPr="00D940DC">
              <w:rPr>
                <w:rFonts w:asciiTheme="majorHAnsi" w:hAnsiTheme="majorHAnsi"/>
              </w:rPr>
              <w:t>Date</w:t>
            </w:r>
            <w:bookmarkStart w:id="0" w:name="_GoBack"/>
            <w:bookmarkEnd w:id="0"/>
          </w:p>
        </w:tc>
        <w:tc>
          <w:tcPr>
            <w:tcW w:w="8820" w:type="dxa"/>
            <w:tcBorders>
              <w:bottom w:val="single" w:sz="4" w:space="0" w:color="404040" w:themeColor="text1" w:themeTint="BF"/>
            </w:tcBorders>
            <w:vAlign w:val="center"/>
          </w:tcPr>
          <w:p w14:paraId="62E954EF" w14:textId="43A4E7E7" w:rsidR="00A501DF" w:rsidRPr="00D940DC" w:rsidRDefault="00A501DF" w:rsidP="00A501DF">
            <w:pPr>
              <w:pStyle w:val="BodyText"/>
              <w:ind w:left="-2178" w:firstLine="217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940DC">
              <w:rPr>
                <w:rFonts w:asciiTheme="majorHAnsi" w:hAnsiTheme="majorHAnsi"/>
              </w:rPr>
              <w:t>Subject</w:t>
            </w:r>
          </w:p>
        </w:tc>
      </w:tr>
      <w:tr w:rsidR="007E765F" w:rsidRPr="002972C1" w14:paraId="484561BB" w14:textId="77777777" w:rsidTr="00975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E720C0F" w14:textId="56298B41" w:rsidR="007E765F" w:rsidRPr="00BF3D35" w:rsidRDefault="007E765F" w:rsidP="00BF3D35">
            <w:pPr>
              <w:pStyle w:val="BodyText"/>
              <w:ind w:left="-2178" w:firstLine="2178"/>
              <w:jc w:val="left"/>
              <w:rPr>
                <w:rFonts w:cs="Arial"/>
                <w:color w:val="0000FF"/>
                <w:sz w:val="24"/>
                <w:szCs w:val="24"/>
                <w:u w:val="single"/>
              </w:rPr>
            </w:pPr>
            <w:r>
              <w:rPr>
                <w:rFonts w:cs="Arial"/>
                <w:color w:val="2E2E2E"/>
                <w:spacing w:val="0"/>
                <w:sz w:val="24"/>
                <w:szCs w:val="24"/>
              </w:rPr>
              <w:t>201</w:t>
            </w:r>
            <w:r w:rsidR="0064243C">
              <w:rPr>
                <w:rFonts w:cs="Arial"/>
                <w:color w:val="2E2E2E"/>
                <w:spacing w:val="0"/>
                <w:sz w:val="24"/>
                <w:szCs w:val="24"/>
              </w:rPr>
              <w:t>9</w:t>
            </w:r>
            <w:r>
              <w:rPr>
                <w:rFonts w:cs="Arial"/>
                <w:color w:val="2E2E2E"/>
                <w:spacing w:val="0"/>
                <w:sz w:val="24"/>
                <w:szCs w:val="24"/>
              </w:rPr>
              <w:t>-20</w:t>
            </w:r>
            <w:r w:rsidR="0064243C">
              <w:rPr>
                <w:rFonts w:cs="Arial"/>
                <w:color w:val="2E2E2E"/>
                <w:spacing w:val="0"/>
                <w:sz w:val="24"/>
                <w:szCs w:val="24"/>
              </w:rPr>
              <w:t>20</w:t>
            </w:r>
          </w:p>
        </w:tc>
      </w:tr>
      <w:tr w:rsidR="0064243C" w:rsidRPr="002972C1" w14:paraId="224311BB" w14:textId="77777777" w:rsidTr="007D68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826E13A" w14:textId="0D8E9368" w:rsidR="0064243C" w:rsidRPr="00BF3D35" w:rsidRDefault="0064243C" w:rsidP="007E765F">
            <w:pPr>
              <w:ind w:left="0"/>
              <w:rPr>
                <w:rFonts w:cs="Arial"/>
                <w:b w:val="0"/>
                <w:bCs w:val="0"/>
                <w:color w:val="0000FF"/>
                <w:sz w:val="24"/>
                <w:szCs w:val="24"/>
                <w:u w:val="single"/>
              </w:rPr>
            </w:pPr>
            <w:r>
              <w:rPr>
                <w:rFonts w:cs="Arial"/>
                <w:b w:val="0"/>
                <w:color w:val="2E2E2E"/>
                <w:spacing w:val="0"/>
                <w:sz w:val="24"/>
                <w:szCs w:val="24"/>
              </w:rPr>
              <w:t>03/30/20</w:t>
            </w:r>
          </w:p>
        </w:tc>
        <w:tc>
          <w:tcPr>
            <w:tcW w:w="88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89F0DEF" w14:textId="7191A2CC" w:rsidR="0064243C" w:rsidRPr="007D68A4" w:rsidRDefault="006D40D3" w:rsidP="007D68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hyperlink r:id="rId9" w:history="1">
              <w:r w:rsidR="0064243C" w:rsidRPr="007D68A4">
                <w:rPr>
                  <w:rStyle w:val="Hyperlink"/>
                  <w:sz w:val="24"/>
                  <w:szCs w:val="24"/>
                </w:rPr>
                <w:t>Help understanding a MIPA transaction</w:t>
              </w:r>
            </w:hyperlink>
          </w:p>
          <w:p w14:paraId="62B3AEBA" w14:textId="13C7EEF5" w:rsidR="0064243C" w:rsidRPr="007D68A4" w:rsidRDefault="0064243C" w:rsidP="007D68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4243C" w:rsidRPr="002972C1" w14:paraId="57E159F5" w14:textId="77777777" w:rsidTr="007D6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A413CD7" w14:textId="429F0FD0" w:rsidR="0064243C" w:rsidRPr="007E765F" w:rsidRDefault="0064243C" w:rsidP="007E765F">
            <w:pPr>
              <w:ind w:left="0"/>
              <w:rPr>
                <w:rFonts w:cs="Arial"/>
                <w:b w:val="0"/>
                <w:bCs w:val="0"/>
                <w:color w:val="2E2E2E"/>
                <w:spacing w:val="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2E2E2E"/>
                <w:spacing w:val="0"/>
                <w:sz w:val="24"/>
                <w:szCs w:val="24"/>
              </w:rPr>
              <w:t>04/14/20</w:t>
            </w:r>
          </w:p>
        </w:tc>
        <w:tc>
          <w:tcPr>
            <w:tcW w:w="88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2D01E34" w14:textId="07992BC0" w:rsidR="0064243C" w:rsidRPr="007D68A4" w:rsidRDefault="006D40D3" w:rsidP="007D6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10" w:history="1">
              <w:r w:rsidR="0064243C" w:rsidRPr="007D68A4">
                <w:rPr>
                  <w:rStyle w:val="Hyperlink"/>
                  <w:sz w:val="24"/>
                  <w:szCs w:val="24"/>
                </w:rPr>
                <w:t>Essential Employee Letter</w:t>
              </w:r>
            </w:hyperlink>
          </w:p>
          <w:p w14:paraId="21691899" w14:textId="60A5F8A8" w:rsidR="0064243C" w:rsidRPr="007D68A4" w:rsidRDefault="0064243C" w:rsidP="007D6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5043ADE" w14:textId="77777777" w:rsidR="00885873" w:rsidRDefault="00885873" w:rsidP="00885873">
      <w:pPr>
        <w:pStyle w:val="BodyText"/>
        <w:spacing w:after="0" w:line="240" w:lineRule="auto"/>
        <w:ind w:left="0"/>
        <w:rPr>
          <w:rFonts w:asciiTheme="majorHAnsi" w:hAnsiTheme="majorHAnsi"/>
        </w:rPr>
      </w:pPr>
    </w:p>
    <w:p w14:paraId="21354933" w14:textId="683870D3" w:rsidR="00AC47E8" w:rsidRDefault="00AC47E8" w:rsidP="7F4F39E3">
      <w:pPr>
        <w:ind w:left="720"/>
        <w:jc w:val="center"/>
        <w:rPr>
          <w:rFonts w:ascii="Gill Sans" w:hAnsi="Gill Sans" w:cs="Gill Sans"/>
          <w:i/>
          <w:iCs/>
        </w:rPr>
      </w:pPr>
    </w:p>
    <w:p w14:paraId="1445DF7B" w14:textId="77777777" w:rsidR="00AC47E8" w:rsidRDefault="00AC47E8" w:rsidP="00885873">
      <w:pPr>
        <w:jc w:val="center"/>
        <w:rPr>
          <w:rFonts w:ascii="Gill Sans" w:hAnsi="Gill Sans" w:cs="Gill Sans"/>
          <w:i/>
        </w:rPr>
      </w:pPr>
    </w:p>
    <w:p w14:paraId="579B1CC4" w14:textId="77777777" w:rsidR="00AC47E8" w:rsidRDefault="00AC47E8" w:rsidP="00885873">
      <w:pPr>
        <w:jc w:val="center"/>
        <w:rPr>
          <w:rFonts w:ascii="Gill Sans" w:hAnsi="Gill Sans" w:cs="Gill Sans"/>
          <w:i/>
        </w:rPr>
      </w:pPr>
    </w:p>
    <w:p w14:paraId="0DFD815C" w14:textId="77777777" w:rsidR="00D7275A" w:rsidRPr="00A501DF" w:rsidRDefault="00D7275A" w:rsidP="00D7275A">
      <w:pPr>
        <w:jc w:val="center"/>
        <w:rPr>
          <w:rFonts w:ascii="Arial Black" w:hAnsi="Arial Black"/>
          <w:caps/>
          <w:sz w:val="24"/>
          <w:szCs w:val="24"/>
        </w:rPr>
      </w:pPr>
      <w:bookmarkStart w:id="1" w:name="Dates"/>
      <w:r w:rsidRPr="00A501DF">
        <w:rPr>
          <w:rFonts w:ascii="Arial Black" w:hAnsi="Arial Black"/>
          <w:caps/>
          <w:sz w:val="24"/>
          <w:szCs w:val="24"/>
        </w:rPr>
        <w:t>Important Dates</w:t>
      </w:r>
    </w:p>
    <w:bookmarkEnd w:id="1"/>
    <w:p w14:paraId="5158521B" w14:textId="77777777" w:rsidR="00D7275A" w:rsidRDefault="00D7275A" w:rsidP="00D7275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MediumShading1"/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0"/>
        <w:gridCol w:w="135"/>
        <w:gridCol w:w="3267"/>
      </w:tblGrid>
      <w:tr w:rsidR="00D7275A" w14:paraId="7CB41800" w14:textId="77777777" w:rsidTr="7F4F39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5" w:type="dxa"/>
            <w:gridSpan w:val="2"/>
            <w:tcBorders>
              <w:bottom w:val="single" w:sz="4" w:space="0" w:color="404040" w:themeColor="text1" w:themeTint="BF"/>
              <w:right w:val="single" w:sz="8" w:space="0" w:color="404040" w:themeColor="text1" w:themeTint="BF"/>
            </w:tcBorders>
            <w:vAlign w:val="center"/>
            <w:hideMark/>
          </w:tcPr>
          <w:p w14:paraId="4452ABAD" w14:textId="68C8D5D4" w:rsidR="00D7275A" w:rsidRDefault="00D7275A" w:rsidP="00A501DF">
            <w:pPr>
              <w:ind w:left="-1440" w:right="-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7F4F39E3">
              <w:rPr>
                <w:sz w:val="28"/>
                <w:szCs w:val="28"/>
              </w:rPr>
              <w:br w:type="page"/>
            </w:r>
            <w:r w:rsidRPr="7F4F39E3">
              <w:rPr>
                <w:sz w:val="28"/>
                <w:szCs w:val="28"/>
              </w:rPr>
              <w:br w:type="page"/>
            </w:r>
            <w:r w:rsidR="7F4F39E3" w:rsidRPr="7F4F39E3">
              <w:rPr>
                <w:sz w:val="28"/>
                <w:szCs w:val="28"/>
              </w:rPr>
              <w:t>Item</w:t>
            </w:r>
          </w:p>
        </w:tc>
        <w:tc>
          <w:tcPr>
            <w:tcW w:w="3267" w:type="dxa"/>
            <w:tcBorders>
              <w:left w:val="single" w:sz="8" w:space="0" w:color="404040" w:themeColor="text1" w:themeTint="BF"/>
              <w:bottom w:val="single" w:sz="4" w:space="0" w:color="404040" w:themeColor="text1" w:themeTint="BF"/>
            </w:tcBorders>
            <w:vAlign w:val="center"/>
            <w:hideMark/>
          </w:tcPr>
          <w:p w14:paraId="3290EBD5" w14:textId="7BC0149B" w:rsidR="00D7275A" w:rsidRDefault="7F4F39E3" w:rsidP="00A501DF">
            <w:pPr>
              <w:ind w:left="-1440" w:right="-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7F4F39E3">
              <w:rPr>
                <w:sz w:val="28"/>
                <w:szCs w:val="28"/>
              </w:rPr>
              <w:t>Date</w:t>
            </w:r>
          </w:p>
        </w:tc>
      </w:tr>
      <w:tr w:rsidR="00D7275A" w14:paraId="505A8FE9" w14:textId="77777777" w:rsidTr="7F4F39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02D5B12A" w14:textId="77777777" w:rsidR="00D7275A" w:rsidRPr="0064243C" w:rsidRDefault="7F4F39E3" w:rsidP="7F4F39E3">
            <w:pPr>
              <w:ind w:left="0"/>
              <w:jc w:val="center"/>
              <w:rPr>
                <w:b w:val="0"/>
                <w:bCs w:val="0"/>
                <w:sz w:val="28"/>
                <w:szCs w:val="28"/>
              </w:rPr>
            </w:pPr>
            <w:r w:rsidRPr="7F4F39E3">
              <w:rPr>
                <w:b w:val="0"/>
                <w:bCs w:val="0"/>
                <w:sz w:val="28"/>
                <w:szCs w:val="28"/>
              </w:rPr>
              <w:t>Program Idea Submission Deadline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534D" w14:textId="731F01A1" w:rsidR="00D7275A" w:rsidRPr="0064243C" w:rsidRDefault="7F4F39E3" w:rsidP="7F4F39E3">
            <w:pPr>
              <w:ind w:left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8"/>
                <w:szCs w:val="28"/>
              </w:rPr>
            </w:pPr>
            <w:r w:rsidRPr="7F4F39E3">
              <w:rPr>
                <w:rFonts w:eastAsia="Arial" w:cs="Arial"/>
                <w:sz w:val="28"/>
                <w:szCs w:val="28"/>
              </w:rPr>
              <w:t>Wed., Feb. 3, 2021 </w:t>
            </w:r>
          </w:p>
        </w:tc>
      </w:tr>
      <w:tr w:rsidR="00D7275A" w14:paraId="6C8ABBE2" w14:textId="77777777" w:rsidTr="7F4F39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3D4FAD72" w14:textId="77777777" w:rsidR="00D7275A" w:rsidRPr="0064243C" w:rsidRDefault="7F4F39E3" w:rsidP="7F4F39E3">
            <w:pPr>
              <w:ind w:left="0"/>
              <w:jc w:val="center"/>
              <w:rPr>
                <w:b w:val="0"/>
                <w:bCs w:val="0"/>
                <w:sz w:val="28"/>
                <w:szCs w:val="28"/>
              </w:rPr>
            </w:pPr>
            <w:r w:rsidRPr="7F4F39E3">
              <w:rPr>
                <w:b w:val="0"/>
                <w:bCs w:val="0"/>
                <w:sz w:val="28"/>
                <w:szCs w:val="28"/>
              </w:rPr>
              <w:t>Program Selection Notifications Sent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B30D" w14:textId="3CC81608" w:rsidR="00D7275A" w:rsidRPr="0064243C" w:rsidRDefault="7F4F39E3" w:rsidP="7F4F39E3">
            <w:pPr>
              <w:ind w:left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8"/>
                <w:szCs w:val="28"/>
              </w:rPr>
            </w:pPr>
            <w:r w:rsidRPr="7F4F39E3">
              <w:rPr>
                <w:rFonts w:eastAsia="Arial" w:cs="Arial"/>
                <w:sz w:val="28"/>
                <w:szCs w:val="28"/>
              </w:rPr>
              <w:t>Wed., March 31, 2021 </w:t>
            </w:r>
          </w:p>
        </w:tc>
      </w:tr>
      <w:tr w:rsidR="00D7275A" w14:paraId="77AE9D14" w14:textId="77777777" w:rsidTr="7F4F39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2156B5DB" w14:textId="77777777" w:rsidR="00D7275A" w:rsidRPr="0064243C" w:rsidRDefault="7F4F39E3" w:rsidP="7F4F39E3">
            <w:pPr>
              <w:ind w:left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7F4F39E3">
              <w:rPr>
                <w:b w:val="0"/>
                <w:bCs w:val="0"/>
                <w:sz w:val="28"/>
                <w:szCs w:val="28"/>
              </w:rPr>
              <w:t>Program Organizer Submission Deadline</w:t>
            </w:r>
            <w:r w:rsidRPr="7F4F39E3">
              <w:rPr>
                <w:b w:val="0"/>
                <w:bCs w:val="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43A4" w14:textId="17C71238" w:rsidR="00D7275A" w:rsidRPr="0064243C" w:rsidRDefault="7F4F39E3" w:rsidP="7F4F39E3">
            <w:pPr>
              <w:ind w:left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8"/>
                <w:szCs w:val="28"/>
              </w:rPr>
            </w:pPr>
            <w:r w:rsidRPr="7F4F39E3">
              <w:rPr>
                <w:rFonts w:eastAsia="Arial" w:cs="Arial"/>
                <w:sz w:val="28"/>
                <w:szCs w:val="28"/>
              </w:rPr>
              <w:t>Wed., April 14, 2021 </w:t>
            </w:r>
          </w:p>
        </w:tc>
      </w:tr>
      <w:tr w:rsidR="00D7275A" w14:paraId="303A363F" w14:textId="77777777" w:rsidTr="7F4F39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48567FAF" w14:textId="77777777" w:rsidR="00D7275A" w:rsidRPr="0064243C" w:rsidRDefault="7F4F39E3" w:rsidP="7F4F39E3">
            <w:pPr>
              <w:ind w:left="0"/>
              <w:jc w:val="center"/>
              <w:rPr>
                <w:b w:val="0"/>
                <w:bCs w:val="0"/>
                <w:sz w:val="28"/>
                <w:szCs w:val="28"/>
              </w:rPr>
            </w:pPr>
            <w:r w:rsidRPr="7F4F39E3">
              <w:rPr>
                <w:b w:val="0"/>
                <w:bCs w:val="0"/>
                <w:sz w:val="28"/>
                <w:szCs w:val="28"/>
              </w:rPr>
              <w:t>Speaker Submission Deadline</w:t>
            </w:r>
            <w:r w:rsidRPr="7F4F39E3">
              <w:rPr>
                <w:b w:val="0"/>
                <w:bCs w:val="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4699" w14:textId="6DAEA962" w:rsidR="00D7275A" w:rsidRPr="0064243C" w:rsidRDefault="7F4F39E3" w:rsidP="7F4F39E3">
            <w:pPr>
              <w:ind w:left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8"/>
                <w:szCs w:val="28"/>
              </w:rPr>
            </w:pPr>
            <w:r w:rsidRPr="7F4F39E3">
              <w:rPr>
                <w:rFonts w:eastAsia="Arial" w:cs="Arial"/>
                <w:sz w:val="28"/>
                <w:szCs w:val="28"/>
              </w:rPr>
              <w:t>Fri., June 4, 2021 </w:t>
            </w:r>
          </w:p>
        </w:tc>
      </w:tr>
      <w:tr w:rsidR="00D7275A" w14:paraId="7D5818F0" w14:textId="77777777" w:rsidTr="7F4F39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443FE07C" w14:textId="77777777" w:rsidR="00D7275A" w:rsidRPr="0064243C" w:rsidRDefault="7F4F39E3" w:rsidP="7F4F39E3">
            <w:pPr>
              <w:ind w:left="0"/>
              <w:jc w:val="center"/>
              <w:rPr>
                <w:b w:val="0"/>
                <w:bCs w:val="0"/>
                <w:sz w:val="28"/>
                <w:szCs w:val="28"/>
              </w:rPr>
            </w:pPr>
            <w:r w:rsidRPr="7F4F39E3">
              <w:rPr>
                <w:b w:val="0"/>
                <w:bCs w:val="0"/>
                <w:sz w:val="28"/>
                <w:szCs w:val="28"/>
              </w:rPr>
              <w:t>Course Material Submission Deadline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C777" w14:textId="1D01B532" w:rsidR="00D7275A" w:rsidRPr="0064243C" w:rsidRDefault="7F4F39E3" w:rsidP="7F4F39E3">
            <w:pPr>
              <w:ind w:left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8"/>
                <w:szCs w:val="28"/>
                <w:highlight w:val="yellow"/>
              </w:rPr>
            </w:pPr>
            <w:r w:rsidRPr="7F4F39E3">
              <w:rPr>
                <w:rFonts w:eastAsia="Arial" w:cs="Arial"/>
                <w:sz w:val="28"/>
                <w:szCs w:val="28"/>
              </w:rPr>
              <w:t>Tues., Aug. 31, 2021</w:t>
            </w:r>
          </w:p>
        </w:tc>
      </w:tr>
    </w:tbl>
    <w:p w14:paraId="6AA55BA4" w14:textId="77777777" w:rsidR="00AC47E8" w:rsidRDefault="00AC47E8" w:rsidP="00680009">
      <w:pPr>
        <w:ind w:left="0"/>
        <w:rPr>
          <w:rFonts w:ascii="Gill Sans" w:hAnsi="Gill Sans" w:cs="Gill Sans"/>
          <w:i/>
        </w:rPr>
      </w:pPr>
    </w:p>
    <w:p w14:paraId="7854AB55" w14:textId="77777777" w:rsidR="00AC47E8" w:rsidRPr="00D8771F" w:rsidRDefault="00AC47E8" w:rsidP="00AC47E8">
      <w:pPr>
        <w:jc w:val="center"/>
        <w:rPr>
          <w:rFonts w:ascii="Gill Sans" w:hAnsi="Gill Sans" w:cs="Gill Sans"/>
          <w:i/>
        </w:rPr>
      </w:pPr>
      <w:r w:rsidRPr="00D8771F">
        <w:rPr>
          <w:rFonts w:ascii="Gill Sans" w:hAnsi="Gill Sans" w:cs="Gill Sans"/>
          <w:i/>
          <w:vertAlign w:val="superscript"/>
        </w:rPr>
        <w:t>‡</w:t>
      </w:r>
      <w:r w:rsidRPr="00D8771F">
        <w:rPr>
          <w:rFonts w:ascii="Gill Sans" w:hAnsi="Gill Sans" w:cs="Gill Sans"/>
          <w:i/>
        </w:rPr>
        <w:t xml:space="preserve">ACC confirms program organizer and </w:t>
      </w:r>
      <w:r>
        <w:rPr>
          <w:rFonts w:ascii="Gill Sans" w:hAnsi="Gill Sans" w:cs="Gill Sans"/>
          <w:i/>
        </w:rPr>
        <w:t>speaker</w:t>
      </w:r>
      <w:r w:rsidRPr="00D8771F">
        <w:rPr>
          <w:rFonts w:ascii="Gill Sans" w:hAnsi="Gill Sans" w:cs="Gill Sans"/>
          <w:i/>
        </w:rPr>
        <w:t xml:space="preserve"> submissions on rolling basis</w:t>
      </w:r>
    </w:p>
    <w:p w14:paraId="64B997D7" w14:textId="77777777" w:rsidR="00AC47E8" w:rsidRPr="00914539" w:rsidRDefault="00AC47E8" w:rsidP="00885873">
      <w:pPr>
        <w:jc w:val="center"/>
        <w:rPr>
          <w:rFonts w:ascii="Gill Sans" w:hAnsi="Gill Sans" w:cs="Gill Sans"/>
          <w:i/>
        </w:rPr>
      </w:pPr>
    </w:p>
    <w:sectPr w:rsidR="00AC47E8" w:rsidRPr="00914539" w:rsidSect="00B652FA">
      <w:footerReference w:type="even" r:id="rId11"/>
      <w:footerReference w:type="default" r:id="rId12"/>
      <w:footerReference w:type="first" r:id="rId13"/>
      <w:pgSz w:w="12240" w:h="15840" w:code="1"/>
      <w:pgMar w:top="1008" w:right="1800" w:bottom="1440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6EFFB" w14:textId="77777777" w:rsidR="006D40D3" w:rsidRDefault="006D40D3">
      <w:r>
        <w:separator/>
      </w:r>
    </w:p>
  </w:endnote>
  <w:endnote w:type="continuationSeparator" w:id="0">
    <w:p w14:paraId="3EDDE87C" w14:textId="77777777" w:rsidR="006D40D3" w:rsidRDefault="006D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1DD66" w14:textId="77777777" w:rsidR="00BF3D35" w:rsidRDefault="00BF3D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9788AA" w14:textId="77777777" w:rsidR="00BF3D35" w:rsidRDefault="00BF3D35">
    <w:pPr>
      <w:pStyle w:val="Footer"/>
    </w:pPr>
  </w:p>
  <w:p w14:paraId="0162D035" w14:textId="77777777" w:rsidR="00BF3D35" w:rsidRDefault="00BF3D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8CF0" w14:textId="77777777" w:rsidR="00BF3D35" w:rsidRDefault="00BF3D35">
    <w:pPr>
      <w:pStyle w:val="Footer"/>
    </w:pPr>
    <w:r>
      <w:rPr>
        <w:rFonts w:ascii="Wingdings" w:eastAsia="Wingdings" w:hAnsi="Wingdings" w:cs="Wingdings"/>
      </w:rPr>
      <w:t></w:t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765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BFA0D0" w14:textId="77777777" w:rsidR="00BF3D35" w:rsidRDefault="00BF3D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52631" w14:textId="77777777" w:rsidR="00BF3D35" w:rsidRDefault="00BF3D35" w:rsidP="00402105">
    <w:pPr>
      <w:tabs>
        <w:tab w:val="left" w:pos="1340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A6934" w14:textId="77777777" w:rsidR="006D40D3" w:rsidRDefault="006D40D3">
      <w:r>
        <w:separator/>
      </w:r>
    </w:p>
  </w:footnote>
  <w:footnote w:type="continuationSeparator" w:id="0">
    <w:p w14:paraId="2582698A" w14:textId="77777777" w:rsidR="006D40D3" w:rsidRDefault="006D4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A8DA5152"/>
    <w:lvl w:ilvl="0" w:tplc="A6CC808E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 w:tplc="5FCA441E">
      <w:numFmt w:val="decimal"/>
      <w:lvlText w:val=""/>
      <w:lvlJc w:val="left"/>
    </w:lvl>
    <w:lvl w:ilvl="2" w:tplc="BD3E96AC">
      <w:numFmt w:val="decimal"/>
      <w:lvlText w:val=""/>
      <w:lvlJc w:val="left"/>
    </w:lvl>
    <w:lvl w:ilvl="3" w:tplc="BDE202BC">
      <w:numFmt w:val="decimal"/>
      <w:lvlText w:val=""/>
      <w:lvlJc w:val="left"/>
    </w:lvl>
    <w:lvl w:ilvl="4" w:tplc="2BBE93E2">
      <w:numFmt w:val="decimal"/>
      <w:lvlText w:val=""/>
      <w:lvlJc w:val="left"/>
    </w:lvl>
    <w:lvl w:ilvl="5" w:tplc="B9A0DF4C">
      <w:numFmt w:val="decimal"/>
      <w:lvlText w:val=""/>
      <w:lvlJc w:val="left"/>
    </w:lvl>
    <w:lvl w:ilvl="6" w:tplc="2AC08044">
      <w:numFmt w:val="decimal"/>
      <w:lvlText w:val=""/>
      <w:lvlJc w:val="left"/>
    </w:lvl>
    <w:lvl w:ilvl="7" w:tplc="3738D800">
      <w:numFmt w:val="decimal"/>
      <w:lvlText w:val=""/>
      <w:lvlJc w:val="left"/>
    </w:lvl>
    <w:lvl w:ilvl="8" w:tplc="39C8411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0E25E94"/>
    <w:lvl w:ilvl="0" w:tplc="D8829842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 w:tplc="8F0675AA">
      <w:numFmt w:val="decimal"/>
      <w:lvlText w:val=""/>
      <w:lvlJc w:val="left"/>
    </w:lvl>
    <w:lvl w:ilvl="2" w:tplc="6FC8B3E8">
      <w:numFmt w:val="decimal"/>
      <w:lvlText w:val=""/>
      <w:lvlJc w:val="left"/>
    </w:lvl>
    <w:lvl w:ilvl="3" w:tplc="5358D842">
      <w:numFmt w:val="decimal"/>
      <w:lvlText w:val=""/>
      <w:lvlJc w:val="left"/>
    </w:lvl>
    <w:lvl w:ilvl="4" w:tplc="DF24ECD4">
      <w:numFmt w:val="decimal"/>
      <w:lvlText w:val=""/>
      <w:lvlJc w:val="left"/>
    </w:lvl>
    <w:lvl w:ilvl="5" w:tplc="470AA970">
      <w:numFmt w:val="decimal"/>
      <w:lvlText w:val=""/>
      <w:lvlJc w:val="left"/>
    </w:lvl>
    <w:lvl w:ilvl="6" w:tplc="E3442F16">
      <w:numFmt w:val="decimal"/>
      <w:lvlText w:val=""/>
      <w:lvlJc w:val="left"/>
    </w:lvl>
    <w:lvl w:ilvl="7" w:tplc="E900258A">
      <w:numFmt w:val="decimal"/>
      <w:lvlText w:val=""/>
      <w:lvlJc w:val="left"/>
    </w:lvl>
    <w:lvl w:ilvl="8" w:tplc="8EAA78BA">
      <w:numFmt w:val="decimal"/>
      <w:lvlText w:val=""/>
      <w:lvlJc w:val="left"/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8427CAB"/>
    <w:multiLevelType w:val="hybridMultilevel"/>
    <w:tmpl w:val="67861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214641"/>
    <w:multiLevelType w:val="hybridMultilevel"/>
    <w:tmpl w:val="057E0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20A2B"/>
    <w:multiLevelType w:val="hybridMultilevel"/>
    <w:tmpl w:val="ABEC2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4635063"/>
    <w:multiLevelType w:val="hybridMultilevel"/>
    <w:tmpl w:val="6890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E08B2"/>
    <w:multiLevelType w:val="hybridMultilevel"/>
    <w:tmpl w:val="64BC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078FA"/>
    <w:multiLevelType w:val="hybridMultilevel"/>
    <w:tmpl w:val="3454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4417E"/>
    <w:multiLevelType w:val="hybridMultilevel"/>
    <w:tmpl w:val="0F06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D2931"/>
    <w:multiLevelType w:val="hybridMultilevel"/>
    <w:tmpl w:val="D8305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53750"/>
    <w:multiLevelType w:val="hybridMultilevel"/>
    <w:tmpl w:val="8898A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55704"/>
    <w:multiLevelType w:val="hybridMultilevel"/>
    <w:tmpl w:val="754C7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F49AC"/>
    <w:multiLevelType w:val="hybridMultilevel"/>
    <w:tmpl w:val="41DE7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04F39"/>
    <w:multiLevelType w:val="hybridMultilevel"/>
    <w:tmpl w:val="23C0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91CC5"/>
    <w:multiLevelType w:val="hybridMultilevel"/>
    <w:tmpl w:val="6286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25" w15:restartNumberingAfterBreak="0">
    <w:nsid w:val="5E361502"/>
    <w:multiLevelType w:val="hybridMultilevel"/>
    <w:tmpl w:val="4FFC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92594"/>
    <w:multiLevelType w:val="hybridMultilevel"/>
    <w:tmpl w:val="D388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510E4"/>
    <w:multiLevelType w:val="hybridMultilevel"/>
    <w:tmpl w:val="D1A2B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36001"/>
    <w:multiLevelType w:val="hybridMultilevel"/>
    <w:tmpl w:val="3C04E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B5936"/>
    <w:multiLevelType w:val="hybridMultilevel"/>
    <w:tmpl w:val="8D9C4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31" w15:restartNumberingAfterBreak="0">
    <w:nsid w:val="78D423F9"/>
    <w:multiLevelType w:val="hybridMultilevel"/>
    <w:tmpl w:val="DB6E8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30FE3"/>
    <w:multiLevelType w:val="hybridMultilevel"/>
    <w:tmpl w:val="4684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23"/>
  </w:num>
  <w:num w:numId="15">
    <w:abstractNumId w:val="20"/>
  </w:num>
  <w:num w:numId="16">
    <w:abstractNumId w:val="28"/>
  </w:num>
  <w:num w:numId="17">
    <w:abstractNumId w:val="11"/>
  </w:num>
  <w:num w:numId="18">
    <w:abstractNumId w:val="25"/>
  </w:num>
  <w:num w:numId="19">
    <w:abstractNumId w:val="12"/>
  </w:num>
  <w:num w:numId="20">
    <w:abstractNumId w:val="27"/>
  </w:num>
  <w:num w:numId="21">
    <w:abstractNumId w:val="18"/>
  </w:num>
  <w:num w:numId="22">
    <w:abstractNumId w:val="15"/>
  </w:num>
  <w:num w:numId="23">
    <w:abstractNumId w:val="13"/>
  </w:num>
  <w:num w:numId="24">
    <w:abstractNumId w:val="19"/>
  </w:num>
  <w:num w:numId="25">
    <w:abstractNumId w:val="22"/>
  </w:num>
  <w:num w:numId="26">
    <w:abstractNumId w:val="14"/>
  </w:num>
  <w:num w:numId="27">
    <w:abstractNumId w:val="31"/>
  </w:num>
  <w:num w:numId="28">
    <w:abstractNumId w:val="32"/>
  </w:num>
  <w:num w:numId="29">
    <w:abstractNumId w:val="17"/>
  </w:num>
  <w:num w:numId="30">
    <w:abstractNumId w:val="21"/>
  </w:num>
  <w:num w:numId="31">
    <w:abstractNumId w:val="29"/>
  </w:num>
  <w:num w:numId="32">
    <w:abstractNumId w:val="1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8" w:dllVersion="513" w:checkStyle="1"/>
  <w:proofState w:spelling="clean" w:grammar="clean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E8B"/>
    <w:rsid w:val="00025C12"/>
    <w:rsid w:val="00034336"/>
    <w:rsid w:val="000347A0"/>
    <w:rsid w:val="00036205"/>
    <w:rsid w:val="000665C9"/>
    <w:rsid w:val="00090208"/>
    <w:rsid w:val="00092079"/>
    <w:rsid w:val="00095696"/>
    <w:rsid w:val="00097EA3"/>
    <w:rsid w:val="000B40F4"/>
    <w:rsid w:val="000C21CB"/>
    <w:rsid w:val="000C5961"/>
    <w:rsid w:val="000C6A67"/>
    <w:rsid w:val="000D65A5"/>
    <w:rsid w:val="000E51E9"/>
    <w:rsid w:val="00106C97"/>
    <w:rsid w:val="0011738C"/>
    <w:rsid w:val="0012336A"/>
    <w:rsid w:val="00141D2A"/>
    <w:rsid w:val="00143C61"/>
    <w:rsid w:val="00164EBC"/>
    <w:rsid w:val="00176AA5"/>
    <w:rsid w:val="00180783"/>
    <w:rsid w:val="001A20F9"/>
    <w:rsid w:val="001D0588"/>
    <w:rsid w:val="001D3F0E"/>
    <w:rsid w:val="001E28D8"/>
    <w:rsid w:val="001E641F"/>
    <w:rsid w:val="001E681B"/>
    <w:rsid w:val="00204074"/>
    <w:rsid w:val="00221AF2"/>
    <w:rsid w:val="002255DC"/>
    <w:rsid w:val="00240310"/>
    <w:rsid w:val="002676A4"/>
    <w:rsid w:val="00272FB7"/>
    <w:rsid w:val="00281BD5"/>
    <w:rsid w:val="002972C1"/>
    <w:rsid w:val="002C269B"/>
    <w:rsid w:val="00305BB1"/>
    <w:rsid w:val="00310DAC"/>
    <w:rsid w:val="00313098"/>
    <w:rsid w:val="003245FD"/>
    <w:rsid w:val="00325FB6"/>
    <w:rsid w:val="00330859"/>
    <w:rsid w:val="00365C11"/>
    <w:rsid w:val="00390551"/>
    <w:rsid w:val="003A1871"/>
    <w:rsid w:val="003B6600"/>
    <w:rsid w:val="003D7C94"/>
    <w:rsid w:val="003F3AB0"/>
    <w:rsid w:val="00402105"/>
    <w:rsid w:val="00402A2D"/>
    <w:rsid w:val="00413622"/>
    <w:rsid w:val="004216FC"/>
    <w:rsid w:val="004263BF"/>
    <w:rsid w:val="00430835"/>
    <w:rsid w:val="00432C12"/>
    <w:rsid w:val="004426CF"/>
    <w:rsid w:val="004847BB"/>
    <w:rsid w:val="004A032E"/>
    <w:rsid w:val="004B6981"/>
    <w:rsid w:val="004C619B"/>
    <w:rsid w:val="004E0888"/>
    <w:rsid w:val="004E26BD"/>
    <w:rsid w:val="0055373B"/>
    <w:rsid w:val="00562700"/>
    <w:rsid w:val="00567437"/>
    <w:rsid w:val="00572B6D"/>
    <w:rsid w:val="005C75A7"/>
    <w:rsid w:val="005D4F4E"/>
    <w:rsid w:val="005F256B"/>
    <w:rsid w:val="00601906"/>
    <w:rsid w:val="00606078"/>
    <w:rsid w:val="00622A35"/>
    <w:rsid w:val="00622BA2"/>
    <w:rsid w:val="0063483E"/>
    <w:rsid w:val="0064243C"/>
    <w:rsid w:val="006475BC"/>
    <w:rsid w:val="006531D0"/>
    <w:rsid w:val="0066490E"/>
    <w:rsid w:val="00672EF1"/>
    <w:rsid w:val="00680009"/>
    <w:rsid w:val="006A3596"/>
    <w:rsid w:val="006B0464"/>
    <w:rsid w:val="006B1AB9"/>
    <w:rsid w:val="006B2004"/>
    <w:rsid w:val="006B371F"/>
    <w:rsid w:val="006B5DF4"/>
    <w:rsid w:val="006D051D"/>
    <w:rsid w:val="006D40D3"/>
    <w:rsid w:val="006D49F1"/>
    <w:rsid w:val="006F1BCA"/>
    <w:rsid w:val="00705722"/>
    <w:rsid w:val="00711EED"/>
    <w:rsid w:val="007262BB"/>
    <w:rsid w:val="00765A34"/>
    <w:rsid w:val="00772D3A"/>
    <w:rsid w:val="0077497E"/>
    <w:rsid w:val="007B7A63"/>
    <w:rsid w:val="007D68A4"/>
    <w:rsid w:val="007E66B3"/>
    <w:rsid w:val="007E765F"/>
    <w:rsid w:val="00800C2D"/>
    <w:rsid w:val="00812E6B"/>
    <w:rsid w:val="00815518"/>
    <w:rsid w:val="00862E0C"/>
    <w:rsid w:val="00882149"/>
    <w:rsid w:val="00882C75"/>
    <w:rsid w:val="00885873"/>
    <w:rsid w:val="008867CA"/>
    <w:rsid w:val="00895898"/>
    <w:rsid w:val="00896979"/>
    <w:rsid w:val="008A117A"/>
    <w:rsid w:val="008C1DB8"/>
    <w:rsid w:val="008D3F4F"/>
    <w:rsid w:val="008D6991"/>
    <w:rsid w:val="0092598F"/>
    <w:rsid w:val="009328D9"/>
    <w:rsid w:val="0094048E"/>
    <w:rsid w:val="00945168"/>
    <w:rsid w:val="00945F91"/>
    <w:rsid w:val="00955E65"/>
    <w:rsid w:val="009602CE"/>
    <w:rsid w:val="00961E74"/>
    <w:rsid w:val="00973EC1"/>
    <w:rsid w:val="009B2174"/>
    <w:rsid w:val="009F348A"/>
    <w:rsid w:val="00A113F9"/>
    <w:rsid w:val="00A40853"/>
    <w:rsid w:val="00A4251D"/>
    <w:rsid w:val="00A45FF6"/>
    <w:rsid w:val="00A501DF"/>
    <w:rsid w:val="00A51F71"/>
    <w:rsid w:val="00A61DCB"/>
    <w:rsid w:val="00A67E15"/>
    <w:rsid w:val="00A87275"/>
    <w:rsid w:val="00AA1AD1"/>
    <w:rsid w:val="00AA55E5"/>
    <w:rsid w:val="00AB25AE"/>
    <w:rsid w:val="00AC22BC"/>
    <w:rsid w:val="00AC47E8"/>
    <w:rsid w:val="00AE5A59"/>
    <w:rsid w:val="00AE5DE2"/>
    <w:rsid w:val="00B13CDF"/>
    <w:rsid w:val="00B254DC"/>
    <w:rsid w:val="00B46319"/>
    <w:rsid w:val="00B463BF"/>
    <w:rsid w:val="00B46411"/>
    <w:rsid w:val="00B652FA"/>
    <w:rsid w:val="00B86204"/>
    <w:rsid w:val="00B87808"/>
    <w:rsid w:val="00B92CB7"/>
    <w:rsid w:val="00BC0D75"/>
    <w:rsid w:val="00BF3D35"/>
    <w:rsid w:val="00C00B3B"/>
    <w:rsid w:val="00C130AA"/>
    <w:rsid w:val="00C2542B"/>
    <w:rsid w:val="00C32D99"/>
    <w:rsid w:val="00C85153"/>
    <w:rsid w:val="00C924E2"/>
    <w:rsid w:val="00CC09B8"/>
    <w:rsid w:val="00CE15B4"/>
    <w:rsid w:val="00D14C4D"/>
    <w:rsid w:val="00D15FE6"/>
    <w:rsid w:val="00D216A4"/>
    <w:rsid w:val="00D33327"/>
    <w:rsid w:val="00D3506B"/>
    <w:rsid w:val="00D70651"/>
    <w:rsid w:val="00D7205D"/>
    <w:rsid w:val="00D725D7"/>
    <w:rsid w:val="00D7275A"/>
    <w:rsid w:val="00D940DC"/>
    <w:rsid w:val="00D9700A"/>
    <w:rsid w:val="00DB1C6E"/>
    <w:rsid w:val="00DB28C1"/>
    <w:rsid w:val="00DE61DF"/>
    <w:rsid w:val="00E470FC"/>
    <w:rsid w:val="00E75F6F"/>
    <w:rsid w:val="00E84209"/>
    <w:rsid w:val="00EA3F2E"/>
    <w:rsid w:val="00EB1412"/>
    <w:rsid w:val="00EB30B7"/>
    <w:rsid w:val="00EB4A08"/>
    <w:rsid w:val="00EB7F7E"/>
    <w:rsid w:val="00EC1246"/>
    <w:rsid w:val="00EC4C50"/>
    <w:rsid w:val="00EE68D9"/>
    <w:rsid w:val="00EE6F64"/>
    <w:rsid w:val="00EF45D2"/>
    <w:rsid w:val="00EF544D"/>
    <w:rsid w:val="00F37D5A"/>
    <w:rsid w:val="00F57364"/>
    <w:rsid w:val="00F61041"/>
    <w:rsid w:val="00F75D4E"/>
    <w:rsid w:val="00F802A6"/>
    <w:rsid w:val="00F84118"/>
    <w:rsid w:val="00F852A0"/>
    <w:rsid w:val="00F85FE1"/>
    <w:rsid w:val="00FA1ADC"/>
    <w:rsid w:val="00FB138D"/>
    <w:rsid w:val="00FD2E8B"/>
    <w:rsid w:val="00FD380D"/>
    <w:rsid w:val="00FD5FBA"/>
    <w:rsid w:val="00FD7395"/>
    <w:rsid w:val="00FE305C"/>
    <w:rsid w:val="39BA647C"/>
    <w:rsid w:val="7F4F39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D44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52FA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B652FA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652FA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B652FA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B652FA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B652FA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52FA"/>
    <w:pPr>
      <w:spacing w:after="220" w:line="180" w:lineRule="atLeast"/>
      <w:jc w:val="both"/>
    </w:pPr>
  </w:style>
  <w:style w:type="paragraph" w:styleId="Closing">
    <w:name w:val="Closing"/>
    <w:basedOn w:val="Normal"/>
    <w:rsid w:val="00B652FA"/>
    <w:pPr>
      <w:keepNext/>
      <w:spacing w:line="220" w:lineRule="atLeast"/>
    </w:pPr>
  </w:style>
  <w:style w:type="paragraph" w:customStyle="1" w:styleId="CompanyName">
    <w:name w:val="Company Name"/>
    <w:basedOn w:val="Normal"/>
    <w:rsid w:val="00B652FA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B652FA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B652FA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B652FA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B652FA"/>
    <w:pPr>
      <w:spacing w:before="600"/>
    </w:pPr>
    <w:rPr>
      <w:sz w:val="18"/>
    </w:rPr>
  </w:style>
  <w:style w:type="paragraph" w:styleId="Header">
    <w:name w:val="header"/>
    <w:basedOn w:val="HeaderBase"/>
    <w:rsid w:val="00B652FA"/>
    <w:pPr>
      <w:spacing w:after="600"/>
    </w:pPr>
  </w:style>
  <w:style w:type="paragraph" w:customStyle="1" w:styleId="HeadingBase">
    <w:name w:val="Heading Base"/>
    <w:basedOn w:val="BodyText"/>
    <w:next w:val="BodyText"/>
    <w:rsid w:val="00B652FA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B652FA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B652FA"/>
    <w:pPr>
      <w:spacing w:before="220"/>
    </w:pPr>
  </w:style>
  <w:style w:type="character" w:customStyle="1" w:styleId="MessageHeaderLabel">
    <w:name w:val="Message Header Label"/>
    <w:rsid w:val="00B652FA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B652FA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B652FA"/>
    <w:pPr>
      <w:ind w:left="1555"/>
    </w:pPr>
  </w:style>
  <w:style w:type="character" w:styleId="PageNumber">
    <w:name w:val="page number"/>
    <w:rsid w:val="00B652FA"/>
    <w:rPr>
      <w:sz w:val="18"/>
    </w:rPr>
  </w:style>
  <w:style w:type="paragraph" w:customStyle="1" w:styleId="ReturnAddress">
    <w:name w:val="Return Address"/>
    <w:basedOn w:val="Normal"/>
    <w:rsid w:val="00B652FA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B652FA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B652FA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B652FA"/>
    <w:pPr>
      <w:spacing w:before="720"/>
      <w:jc w:val="left"/>
    </w:pPr>
  </w:style>
  <w:style w:type="paragraph" w:styleId="List">
    <w:name w:val="List"/>
    <w:basedOn w:val="Normal"/>
    <w:rsid w:val="00B652FA"/>
    <w:pPr>
      <w:ind w:left="1195" w:hanging="360"/>
    </w:pPr>
  </w:style>
  <w:style w:type="paragraph" w:styleId="List2">
    <w:name w:val="List 2"/>
    <w:basedOn w:val="Normal"/>
    <w:rsid w:val="00B652FA"/>
    <w:pPr>
      <w:ind w:left="1555" w:hanging="360"/>
    </w:pPr>
  </w:style>
  <w:style w:type="paragraph" w:styleId="List3">
    <w:name w:val="List 3"/>
    <w:basedOn w:val="Normal"/>
    <w:rsid w:val="00B652FA"/>
    <w:pPr>
      <w:ind w:left="1915" w:hanging="360"/>
    </w:pPr>
  </w:style>
  <w:style w:type="paragraph" w:styleId="List4">
    <w:name w:val="List 4"/>
    <w:basedOn w:val="Normal"/>
    <w:rsid w:val="00B652FA"/>
    <w:pPr>
      <w:ind w:left="2275" w:hanging="360"/>
    </w:pPr>
  </w:style>
  <w:style w:type="paragraph" w:styleId="List5">
    <w:name w:val="List 5"/>
    <w:basedOn w:val="Normal"/>
    <w:rsid w:val="00B652FA"/>
    <w:pPr>
      <w:ind w:left="2635" w:hanging="360"/>
    </w:pPr>
  </w:style>
  <w:style w:type="paragraph" w:styleId="ListBullet">
    <w:name w:val="List Bullet"/>
    <w:basedOn w:val="Normal"/>
    <w:autoRedefine/>
    <w:rsid w:val="00B652FA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B652FA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B652FA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B652FA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B652FA"/>
    <w:pPr>
      <w:numPr>
        <w:numId w:val="7"/>
      </w:numPr>
      <w:ind w:left="2635"/>
    </w:pPr>
  </w:style>
  <w:style w:type="paragraph" w:styleId="ListContinue">
    <w:name w:val="List Continue"/>
    <w:basedOn w:val="Normal"/>
    <w:rsid w:val="00B652FA"/>
    <w:pPr>
      <w:spacing w:after="120"/>
      <w:ind w:left="1195"/>
    </w:pPr>
  </w:style>
  <w:style w:type="paragraph" w:styleId="ListContinue2">
    <w:name w:val="List Continue 2"/>
    <w:basedOn w:val="Normal"/>
    <w:rsid w:val="00B652FA"/>
    <w:pPr>
      <w:spacing w:after="120"/>
      <w:ind w:left="1555"/>
    </w:pPr>
  </w:style>
  <w:style w:type="paragraph" w:styleId="ListContinue3">
    <w:name w:val="List Continue 3"/>
    <w:basedOn w:val="Normal"/>
    <w:rsid w:val="00B652FA"/>
    <w:pPr>
      <w:spacing w:after="120"/>
      <w:ind w:left="1915"/>
    </w:pPr>
  </w:style>
  <w:style w:type="paragraph" w:styleId="ListContinue4">
    <w:name w:val="List Continue 4"/>
    <w:basedOn w:val="Normal"/>
    <w:rsid w:val="00B652FA"/>
    <w:pPr>
      <w:spacing w:after="120"/>
      <w:ind w:left="2275"/>
    </w:pPr>
  </w:style>
  <w:style w:type="paragraph" w:styleId="ListContinue5">
    <w:name w:val="List Continue 5"/>
    <w:basedOn w:val="Normal"/>
    <w:rsid w:val="00B652FA"/>
    <w:pPr>
      <w:spacing w:after="120"/>
      <w:ind w:left="2635"/>
    </w:pPr>
  </w:style>
  <w:style w:type="paragraph" w:styleId="ListNumber">
    <w:name w:val="List Number"/>
    <w:basedOn w:val="Normal"/>
    <w:rsid w:val="00B652FA"/>
    <w:pPr>
      <w:numPr>
        <w:numId w:val="8"/>
      </w:numPr>
      <w:ind w:left="1195"/>
    </w:pPr>
  </w:style>
  <w:style w:type="paragraph" w:styleId="ListNumber2">
    <w:name w:val="List Number 2"/>
    <w:basedOn w:val="Normal"/>
    <w:rsid w:val="00B652FA"/>
    <w:pPr>
      <w:numPr>
        <w:numId w:val="9"/>
      </w:numPr>
      <w:ind w:left="1555"/>
    </w:pPr>
  </w:style>
  <w:style w:type="paragraph" w:styleId="ListNumber3">
    <w:name w:val="List Number 3"/>
    <w:basedOn w:val="Normal"/>
    <w:rsid w:val="00B652FA"/>
    <w:pPr>
      <w:numPr>
        <w:numId w:val="10"/>
      </w:numPr>
      <w:ind w:left="1915"/>
    </w:pPr>
  </w:style>
  <w:style w:type="paragraph" w:styleId="ListNumber4">
    <w:name w:val="List Number 4"/>
    <w:basedOn w:val="Normal"/>
    <w:rsid w:val="00B652FA"/>
    <w:pPr>
      <w:numPr>
        <w:numId w:val="11"/>
      </w:numPr>
      <w:ind w:left="2275"/>
    </w:pPr>
  </w:style>
  <w:style w:type="paragraph" w:styleId="ListNumber5">
    <w:name w:val="List Number 5"/>
    <w:basedOn w:val="Normal"/>
    <w:rsid w:val="00B652FA"/>
    <w:pPr>
      <w:numPr>
        <w:numId w:val="12"/>
      </w:numPr>
      <w:ind w:left="2635"/>
    </w:pPr>
  </w:style>
  <w:style w:type="table" w:styleId="MediumShading1">
    <w:name w:val="Medium Shading 1"/>
    <w:basedOn w:val="TableNormal"/>
    <w:uiPriority w:val="63"/>
    <w:rsid w:val="008D69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D69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91"/>
    <w:rPr>
      <w:rFonts w:ascii="Lucida Grande" w:hAnsi="Lucida Grande" w:cs="Lucida Grande"/>
      <w:spacing w:val="-5"/>
      <w:sz w:val="18"/>
      <w:szCs w:val="18"/>
    </w:rPr>
  </w:style>
  <w:style w:type="table" w:styleId="TableGrid">
    <w:name w:val="Table Grid"/>
    <w:basedOn w:val="TableNormal"/>
    <w:uiPriority w:val="59"/>
    <w:rsid w:val="004A0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03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3AB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36205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885873"/>
    <w:rPr>
      <w:rFonts w:ascii="Arial" w:hAnsi="Arial"/>
      <w:spacing w:val="-5"/>
    </w:rPr>
  </w:style>
  <w:style w:type="paragraph" w:customStyle="1" w:styleId="p1">
    <w:name w:val="p1"/>
    <w:basedOn w:val="Normal"/>
    <w:rsid w:val="00432C12"/>
    <w:pPr>
      <w:ind w:left="0"/>
    </w:pPr>
    <w:rPr>
      <w:rFonts w:cs="Arial"/>
      <w:spacing w:val="0"/>
      <w:sz w:val="15"/>
      <w:szCs w:val="15"/>
    </w:rPr>
  </w:style>
  <w:style w:type="character" w:customStyle="1" w:styleId="s1">
    <w:name w:val="s1"/>
    <w:basedOn w:val="DefaultParagraphFont"/>
    <w:rsid w:val="00432C12"/>
  </w:style>
  <w:style w:type="character" w:customStyle="1" w:styleId="Heading2Char">
    <w:name w:val="Heading 2 Char"/>
    <w:basedOn w:val="DefaultParagraphFont"/>
    <w:link w:val="Heading2"/>
    <w:uiPriority w:val="9"/>
    <w:rsid w:val="0064243C"/>
    <w:rPr>
      <w:rFonts w:ascii="Arial Black" w:hAnsi="Arial Black"/>
      <w:spacing w:val="-10"/>
      <w:kern w:val="28"/>
    </w:rPr>
  </w:style>
  <w:style w:type="character" w:styleId="UnresolvedMention">
    <w:name w:val="Unresolved Mention"/>
    <w:basedOn w:val="DefaultParagraphFont"/>
    <w:uiPriority w:val="99"/>
    <w:rsid w:val="00642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ommunity.acc.com/communities/community-home/digestviewer/viewthread?GroupId=67&amp;MessageKey=4f7c894a-f06b-43b3-8aef-290f33f96d4f&amp;CommunityKey=a0367447-9ed9-448a-a1bc-3f9bf1f1f39e&amp;tab=digestviewer&amp;ReturnUrl=%2fcommunities%2fcommunity-home%2fdigestviewer%3fcommunitykey%3da0367447-9ed9-448a-a1bc-3f9bf1f1f39e%26tab%3ddigestvie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unity.acc.com/communities/community-home/digestviewer/viewthread?GroupId=67&amp;MessageKey=efc164a8-3111-4f44-9554-614986228a5d&amp;CommunityKey=a0367447-9ed9-448a-a1bc-3f9bf1f1f39e&amp;tab=digestviewer&amp;ReturnUrl=%2fcommunities%2fcommunity-home%2fdigestviewer%3fcommunitykey%3da0367447-9ed9-448a-a1bc-3f9bf1f1f39e%26tab%3ddigestview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879E75-28D2-4D19-92F9-B2B21CD4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5441</Characters>
  <Application>Microsoft Office Word</Application>
  <DocSecurity>0</DocSecurity>
  <Lines>45</Lines>
  <Paragraphs>12</Paragraphs>
  <ScaleCrop>false</ScaleCrop>
  <Manager/>
  <Company>Microsoft Corporation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Okolski</dc:creator>
  <cp:keywords/>
  <dc:description/>
  <cp:lastModifiedBy>Nicholas Moses</cp:lastModifiedBy>
  <cp:revision>26</cp:revision>
  <cp:lastPrinted>2016-10-06T14:50:00Z</cp:lastPrinted>
  <dcterms:created xsi:type="dcterms:W3CDTF">2019-09-10T20:02:00Z</dcterms:created>
  <dcterms:modified xsi:type="dcterms:W3CDTF">2020-12-10T15:16:00Z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</Properties>
</file>