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C86D" w14:textId="77777777" w:rsidR="008B5504" w:rsidRDefault="008B5504">
      <w:pPr>
        <w:pStyle w:val="DocumentLabel"/>
        <w:rPr>
          <w:sz w:val="48"/>
        </w:rPr>
      </w:pPr>
      <w:r w:rsidRPr="00E5017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02E1D60B" wp14:editId="4C399A1D">
            <wp:simplePos x="0" y="0"/>
            <wp:positionH relativeFrom="column">
              <wp:posOffset>-109143</wp:posOffset>
            </wp:positionH>
            <wp:positionV relativeFrom="paragraph">
              <wp:posOffset>-161290</wp:posOffset>
            </wp:positionV>
            <wp:extent cx="3479800" cy="7969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9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AD7C" w14:textId="12FBBC3E" w:rsidR="00402105" w:rsidRPr="002A6264" w:rsidRDefault="00EB7F7E">
      <w:pPr>
        <w:pStyle w:val="DocumentLabel"/>
        <w:rPr>
          <w:sz w:val="48"/>
        </w:rPr>
      </w:pPr>
      <w:r w:rsidRPr="002A6264">
        <w:rPr>
          <w:sz w:val="48"/>
        </w:rPr>
        <w:t>Memo</w:t>
      </w:r>
    </w:p>
    <w:p w14:paraId="5382330E" w14:textId="18411413" w:rsidR="00402105" w:rsidRPr="00D216A4" w:rsidRDefault="00EB7F7E" w:rsidP="00402105">
      <w:pPr>
        <w:pStyle w:val="MessageHeaderFirst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pacing w:val="-25"/>
          <w:sz w:val="24"/>
          <w:szCs w:val="24"/>
        </w:rPr>
        <w:t>T</w:t>
      </w:r>
      <w:r w:rsidRPr="00D216A4">
        <w:rPr>
          <w:rStyle w:val="MessageHeaderLabel"/>
          <w:rFonts w:ascii="Arial" w:hAnsi="Arial"/>
          <w:sz w:val="24"/>
          <w:szCs w:val="24"/>
        </w:rPr>
        <w:t xml:space="preserve">o: </w:t>
      </w:r>
      <w:r w:rsidR="000F2635">
        <w:rPr>
          <w:sz w:val="24"/>
          <w:szCs w:val="24"/>
        </w:rPr>
        <w:t xml:space="preserve">Environmental &amp; Sustainability </w:t>
      </w:r>
      <w:r w:rsidR="003D7D18">
        <w:rPr>
          <w:sz w:val="24"/>
          <w:szCs w:val="24"/>
        </w:rPr>
        <w:t>Network</w:t>
      </w:r>
      <w:r w:rsidR="000F2635">
        <w:rPr>
          <w:sz w:val="24"/>
          <w:szCs w:val="24"/>
        </w:rPr>
        <w:t xml:space="preserve"> Leadership</w:t>
      </w:r>
    </w:p>
    <w:p w14:paraId="44ED8517" w14:textId="13ABEE81" w:rsidR="00402105" w:rsidRPr="00D216A4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From: </w:t>
      </w:r>
      <w:r w:rsidR="001F04E8">
        <w:rPr>
          <w:sz w:val="24"/>
          <w:szCs w:val="24"/>
        </w:rPr>
        <w:t>Nicholas Moses</w:t>
      </w:r>
      <w:r w:rsidR="002F4050">
        <w:rPr>
          <w:sz w:val="24"/>
          <w:szCs w:val="24"/>
        </w:rPr>
        <w:t xml:space="preserve">, </w:t>
      </w:r>
      <w:r w:rsidR="003D7D18">
        <w:rPr>
          <w:sz w:val="24"/>
          <w:szCs w:val="24"/>
        </w:rPr>
        <w:t>Network</w:t>
      </w:r>
      <w:r w:rsidR="002F4050">
        <w:rPr>
          <w:sz w:val="24"/>
          <w:szCs w:val="24"/>
        </w:rPr>
        <w:t>s Manager</w:t>
      </w:r>
    </w:p>
    <w:p w14:paraId="6717977F" w14:textId="6D1D0701" w:rsidR="00402105" w:rsidRPr="004D338D" w:rsidRDefault="00EB7F7E" w:rsidP="00402105">
      <w:pPr>
        <w:pStyle w:val="MessageHeader"/>
        <w:ind w:left="0" w:firstLine="0"/>
        <w:rPr>
          <w:sz w:val="24"/>
          <w:szCs w:val="24"/>
        </w:rPr>
      </w:pPr>
      <w:r w:rsidRPr="00D216A4">
        <w:rPr>
          <w:rStyle w:val="MessageHeaderLabel"/>
          <w:rFonts w:ascii="Arial" w:hAnsi="Arial"/>
          <w:sz w:val="24"/>
          <w:szCs w:val="24"/>
        </w:rPr>
        <w:t xml:space="preserve">Date: December </w:t>
      </w:r>
      <w:r w:rsidR="008A6CE7">
        <w:rPr>
          <w:rStyle w:val="MessageHeaderLabel"/>
          <w:rFonts w:ascii="Arial" w:hAnsi="Arial"/>
          <w:sz w:val="24"/>
          <w:szCs w:val="24"/>
        </w:rPr>
        <w:t>9</w:t>
      </w:r>
      <w:r w:rsidR="003D7D18" w:rsidRPr="58F7C961">
        <w:rPr>
          <w:sz w:val="24"/>
          <w:szCs w:val="24"/>
        </w:rPr>
        <w:t>, 2020</w:t>
      </w:r>
    </w:p>
    <w:p w14:paraId="0F1BE2AB" w14:textId="0DA2A73B" w:rsidR="00402105" w:rsidRPr="004D338D" w:rsidRDefault="00EB7F7E" w:rsidP="00402105">
      <w:pPr>
        <w:pStyle w:val="MessageHeaderLast"/>
        <w:ind w:left="0" w:firstLine="0"/>
        <w:rPr>
          <w:sz w:val="24"/>
          <w:szCs w:val="24"/>
        </w:rPr>
      </w:pPr>
      <w:r w:rsidRPr="004D338D">
        <w:rPr>
          <w:rStyle w:val="MessageHeaderLabel"/>
          <w:rFonts w:ascii="Arial" w:hAnsi="Arial"/>
          <w:sz w:val="24"/>
          <w:szCs w:val="24"/>
        </w:rPr>
        <w:t xml:space="preserve">Re: </w:t>
      </w:r>
      <w:r w:rsidR="00973EC1" w:rsidRPr="004D338D">
        <w:rPr>
          <w:sz w:val="24"/>
          <w:szCs w:val="24"/>
        </w:rPr>
        <w:t>20</w:t>
      </w:r>
      <w:r w:rsidR="003C3CA4">
        <w:rPr>
          <w:sz w:val="24"/>
          <w:szCs w:val="24"/>
        </w:rPr>
        <w:t>21</w:t>
      </w:r>
      <w:r w:rsidR="00402105" w:rsidRPr="004D338D">
        <w:rPr>
          <w:sz w:val="24"/>
          <w:szCs w:val="24"/>
        </w:rPr>
        <w:t xml:space="preserve"> Annual Meeting Call for Programs </w:t>
      </w:r>
      <w:r w:rsidR="00D7205D" w:rsidRPr="004D338D">
        <w:rPr>
          <w:sz w:val="24"/>
          <w:szCs w:val="24"/>
        </w:rPr>
        <w:t>Data</w:t>
      </w:r>
      <w:r w:rsidR="004847BB" w:rsidRPr="004D338D">
        <w:rPr>
          <w:sz w:val="24"/>
          <w:szCs w:val="24"/>
        </w:rPr>
        <w:t xml:space="preserve"> </w:t>
      </w:r>
    </w:p>
    <w:p w14:paraId="56AEFBA8" w14:textId="6C87F3FF" w:rsidR="58F7C961" w:rsidRDefault="008A6CE7" w:rsidP="008A6CE7">
      <w:pPr>
        <w:pStyle w:val="Heading1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anticipation of the 2021</w:t>
      </w:r>
      <w:r w:rsidRPr="00AC50A6">
        <w:rPr>
          <w:rFonts w:ascii="Arial" w:hAnsi="Arial" w:cs="Arial"/>
          <w:sz w:val="24"/>
          <w:szCs w:val="24"/>
        </w:rPr>
        <w:t xml:space="preserve"> Annual Meeting Call fo</w:t>
      </w:r>
      <w:r>
        <w:rPr>
          <w:rFonts w:ascii="Arial" w:hAnsi="Arial" w:cs="Arial"/>
          <w:sz w:val="24"/>
          <w:szCs w:val="24"/>
        </w:rPr>
        <w:t>r Programs</w:t>
      </w:r>
      <w:r w:rsidRPr="00AC50A6">
        <w:rPr>
          <w:rFonts w:ascii="Arial" w:hAnsi="Arial" w:cs="Arial"/>
          <w:sz w:val="24"/>
          <w:szCs w:val="24"/>
        </w:rPr>
        <w:t>, below you will find data to aid the E</w:t>
      </w:r>
      <w:r>
        <w:rPr>
          <w:rFonts w:ascii="Arial" w:hAnsi="Arial" w:cs="Arial"/>
          <w:sz w:val="24"/>
          <w:szCs w:val="24"/>
        </w:rPr>
        <w:t>mployment and Labor Law Network</w:t>
      </w:r>
      <w:r w:rsidRPr="00AC50A6">
        <w:rPr>
          <w:rFonts w:ascii="Arial" w:hAnsi="Arial" w:cs="Arial"/>
          <w:sz w:val="24"/>
          <w:szCs w:val="24"/>
        </w:rPr>
        <w:t xml:space="preserve"> in developing its program submissions. All data provided is representative of activity from Octo</w:t>
      </w:r>
      <w:r>
        <w:rPr>
          <w:rFonts w:ascii="Arial" w:hAnsi="Arial" w:cs="Arial"/>
          <w:sz w:val="24"/>
          <w:szCs w:val="24"/>
        </w:rPr>
        <w:t>ber 1, 2018 through September 30, 2020.</w:t>
      </w:r>
    </w:p>
    <w:p w14:paraId="36A87E70" w14:textId="77777777" w:rsidR="008A6CE7" w:rsidRPr="008A6CE7" w:rsidRDefault="008A6CE7" w:rsidP="008A6CE7">
      <w:pPr>
        <w:pStyle w:val="BodyText"/>
      </w:pPr>
    </w:p>
    <w:p w14:paraId="65AAF663" w14:textId="51676522" w:rsidR="006B0464" w:rsidRPr="00D216A4" w:rsidRDefault="006B0464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1F04E8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1F04E8">
        <w:rPr>
          <w:caps/>
          <w:sz w:val="24"/>
          <w:szCs w:val="24"/>
        </w:rPr>
        <w:t>20</w:t>
      </w:r>
      <w:r w:rsidRPr="00D216A4">
        <w:rPr>
          <w:caps/>
          <w:sz w:val="24"/>
          <w:szCs w:val="24"/>
        </w:rPr>
        <w:t xml:space="preserve"> Annual Meeting </w:t>
      </w:r>
      <w:r w:rsidR="001C44E8">
        <w:rPr>
          <w:caps/>
          <w:sz w:val="24"/>
          <w:szCs w:val="24"/>
        </w:rPr>
        <w:t xml:space="preserve">E&amp;S </w:t>
      </w:r>
      <w:r w:rsidR="003D7D18">
        <w:rPr>
          <w:caps/>
          <w:sz w:val="24"/>
          <w:szCs w:val="24"/>
        </w:rPr>
        <w:t>Network</w:t>
      </w:r>
      <w:r w:rsidRPr="00D216A4">
        <w:rPr>
          <w:caps/>
          <w:sz w:val="24"/>
          <w:szCs w:val="24"/>
        </w:rPr>
        <w:t xml:space="preserve"> Session </w:t>
      </w:r>
      <w:r w:rsidR="00C33F2F">
        <w:rPr>
          <w:caps/>
          <w:sz w:val="24"/>
          <w:szCs w:val="24"/>
        </w:rPr>
        <w:t>submissions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393"/>
      </w:tblGrid>
      <w:tr w:rsidR="004A032E" w:rsidRPr="00D216A4" w14:paraId="38EF2B68" w14:textId="77777777" w:rsidTr="58F7C961">
        <w:tc>
          <w:tcPr>
            <w:tcW w:w="829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28AAE16" w14:textId="4A60F991" w:rsidR="004A032E" w:rsidRPr="000F2635" w:rsidRDefault="004A032E" w:rsidP="006B0464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 w:rsidRPr="000F2635">
              <w:rPr>
                <w:rFonts w:cs="Arial"/>
                <w:b/>
                <w:sz w:val="24"/>
                <w:szCs w:val="24"/>
              </w:rPr>
              <w:t>Session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455C36" w14:textId="0552FFC7" w:rsidR="004A032E" w:rsidRPr="000F2635" w:rsidRDefault="004A032E" w:rsidP="006B0464">
            <w:pPr>
              <w:pStyle w:val="BodyText"/>
              <w:ind w:left="0"/>
              <w:rPr>
                <w:rFonts w:cs="Arial"/>
                <w:b/>
                <w:sz w:val="24"/>
                <w:szCs w:val="24"/>
              </w:rPr>
            </w:pPr>
            <w:r w:rsidRPr="000F2635">
              <w:rPr>
                <w:rFonts w:cs="Arial"/>
                <w:b/>
                <w:sz w:val="24"/>
                <w:szCs w:val="24"/>
              </w:rPr>
              <w:t>Attendees</w:t>
            </w:r>
          </w:p>
        </w:tc>
      </w:tr>
      <w:tr w:rsidR="001F04E8" w:rsidRPr="00D216A4" w14:paraId="3E1489C9" w14:textId="77777777" w:rsidTr="58F7C961">
        <w:tc>
          <w:tcPr>
            <w:tcW w:w="9691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7CB4C5C8" w14:textId="2E2A5084" w:rsidR="001F04E8" w:rsidRDefault="58F7C961" w:rsidP="58F7C961">
            <w:pPr>
              <w:pStyle w:val="BodyText"/>
              <w:spacing w:after="120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58F7C961">
              <w:rPr>
                <w:rFonts w:cs="Arial"/>
                <w:b/>
                <w:bCs/>
                <w:sz w:val="24"/>
                <w:szCs w:val="24"/>
              </w:rPr>
              <w:t xml:space="preserve">2020 </w:t>
            </w:r>
          </w:p>
        </w:tc>
      </w:tr>
      <w:tr w:rsidR="001F04E8" w:rsidRPr="00D216A4" w14:paraId="769F8C75" w14:textId="77777777" w:rsidTr="58F7C961">
        <w:trPr>
          <w:trHeight w:val="425"/>
        </w:trPr>
        <w:tc>
          <w:tcPr>
            <w:tcW w:w="8298" w:type="dxa"/>
            <w:shd w:val="clear" w:color="auto" w:fill="auto"/>
          </w:tcPr>
          <w:p w14:paraId="62F3F252" w14:textId="6022482A" w:rsidR="001F04E8" w:rsidRPr="001712FF" w:rsidRDefault="001712FF" w:rsidP="001712F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12FF">
              <w:rPr>
                <w:rFonts w:cs="Arial"/>
                <w:sz w:val="24"/>
                <w:szCs w:val="24"/>
              </w:rPr>
              <w:t>How to Deal with a Disaster Including Its Possible Effect on Corporate Real Estate, Reputation, Liability Exposure, and Land Use</w:t>
            </w:r>
          </w:p>
        </w:tc>
        <w:tc>
          <w:tcPr>
            <w:tcW w:w="1393" w:type="dxa"/>
            <w:shd w:val="clear" w:color="auto" w:fill="auto"/>
          </w:tcPr>
          <w:p w14:paraId="34F6AEE0" w14:textId="6DD30CDC" w:rsidR="001F04E8" w:rsidRDefault="58F7C961" w:rsidP="58F7C961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 w:rsidRPr="58F7C961">
              <w:rPr>
                <w:rFonts w:cs="Arial"/>
                <w:sz w:val="24"/>
                <w:szCs w:val="24"/>
              </w:rPr>
              <w:t>119</w:t>
            </w:r>
          </w:p>
        </w:tc>
      </w:tr>
      <w:tr w:rsidR="001F04E8" w:rsidRPr="00D216A4" w14:paraId="55A7CA45" w14:textId="77777777" w:rsidTr="58F7C961">
        <w:trPr>
          <w:trHeight w:val="420"/>
        </w:trPr>
        <w:tc>
          <w:tcPr>
            <w:tcW w:w="8298" w:type="dxa"/>
            <w:shd w:val="clear" w:color="auto" w:fill="auto"/>
          </w:tcPr>
          <w:p w14:paraId="2BA80E22" w14:textId="1121FE37" w:rsidR="001F04E8" w:rsidRPr="001712FF" w:rsidRDefault="001712FF" w:rsidP="001712F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12FF">
              <w:rPr>
                <w:rFonts w:cs="Arial"/>
                <w:sz w:val="24"/>
                <w:szCs w:val="24"/>
              </w:rPr>
              <w:t>What to Do Before the You-Know-What Hits the Fan: How to Plan and Be Prepared for a Crisis or Catastrophic Event</w:t>
            </w:r>
          </w:p>
        </w:tc>
        <w:tc>
          <w:tcPr>
            <w:tcW w:w="1393" w:type="dxa"/>
            <w:shd w:val="clear" w:color="auto" w:fill="auto"/>
          </w:tcPr>
          <w:p w14:paraId="04DE0D10" w14:textId="4A7762F6" w:rsidR="001F04E8" w:rsidRDefault="58F7C961" w:rsidP="58F7C961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 w:rsidRPr="58F7C961">
              <w:rPr>
                <w:rFonts w:cs="Arial"/>
                <w:sz w:val="24"/>
                <w:szCs w:val="24"/>
              </w:rPr>
              <w:t>Deferred</w:t>
            </w:r>
          </w:p>
        </w:tc>
      </w:tr>
      <w:tr w:rsidR="001F04E8" w:rsidRPr="00D216A4" w14:paraId="3CA108AD" w14:textId="77777777" w:rsidTr="58F7C961">
        <w:trPr>
          <w:trHeight w:val="420"/>
        </w:trPr>
        <w:tc>
          <w:tcPr>
            <w:tcW w:w="8298" w:type="dxa"/>
            <w:shd w:val="clear" w:color="auto" w:fill="auto"/>
          </w:tcPr>
          <w:p w14:paraId="0C553B79" w14:textId="218547D8" w:rsidR="001F04E8" w:rsidRPr="001712FF" w:rsidRDefault="001712FF" w:rsidP="001712F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12FF">
              <w:rPr>
                <w:rFonts w:cs="Arial"/>
                <w:sz w:val="24"/>
                <w:szCs w:val="24"/>
              </w:rPr>
              <w:t>The In-House Impacts of Climate Change for Non-Environmental Lawyers: What to Know and How to Be Prepared for Changes </w:t>
            </w:r>
          </w:p>
        </w:tc>
        <w:tc>
          <w:tcPr>
            <w:tcW w:w="1393" w:type="dxa"/>
            <w:shd w:val="clear" w:color="auto" w:fill="auto"/>
          </w:tcPr>
          <w:p w14:paraId="2107A065" w14:textId="0632E6E4" w:rsidR="001F04E8" w:rsidRPr="001712FF" w:rsidRDefault="001712FF" w:rsidP="000F2635">
            <w:pPr>
              <w:pStyle w:val="BodyText"/>
              <w:spacing w:after="120"/>
              <w:ind w:left="0"/>
              <w:rPr>
                <w:rFonts w:cs="Arial"/>
                <w:bCs/>
                <w:sz w:val="24"/>
                <w:szCs w:val="24"/>
              </w:rPr>
            </w:pPr>
            <w:r w:rsidRPr="001712FF">
              <w:rPr>
                <w:rFonts w:cs="Arial"/>
                <w:bCs/>
                <w:sz w:val="24"/>
                <w:szCs w:val="24"/>
              </w:rPr>
              <w:t>Declined</w:t>
            </w:r>
          </w:p>
        </w:tc>
      </w:tr>
      <w:tr w:rsidR="001F04E8" w:rsidRPr="00D216A4" w14:paraId="2CF8BEA1" w14:textId="77777777" w:rsidTr="58F7C961">
        <w:trPr>
          <w:trHeight w:val="420"/>
        </w:trPr>
        <w:tc>
          <w:tcPr>
            <w:tcW w:w="8298" w:type="dxa"/>
            <w:shd w:val="clear" w:color="auto" w:fill="auto"/>
          </w:tcPr>
          <w:p w14:paraId="1943D0CE" w14:textId="2084CBA5" w:rsidR="001F04E8" w:rsidRPr="001712FF" w:rsidRDefault="001712FF" w:rsidP="001712F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12FF">
              <w:rPr>
                <w:rFonts w:cs="Arial"/>
                <w:sz w:val="24"/>
                <w:szCs w:val="24"/>
              </w:rPr>
              <w:t>What All In-House Counsel Need to Know about Social and Environmental Contract Terms</w:t>
            </w:r>
          </w:p>
        </w:tc>
        <w:tc>
          <w:tcPr>
            <w:tcW w:w="1393" w:type="dxa"/>
            <w:shd w:val="clear" w:color="auto" w:fill="auto"/>
          </w:tcPr>
          <w:p w14:paraId="08D6A15A" w14:textId="2D0799CF" w:rsidR="001F04E8" w:rsidRPr="001712FF" w:rsidRDefault="001712FF" w:rsidP="000F2635">
            <w:pPr>
              <w:pStyle w:val="BodyText"/>
              <w:spacing w:after="120"/>
              <w:ind w:left="0"/>
              <w:rPr>
                <w:rFonts w:cs="Arial"/>
                <w:bCs/>
                <w:sz w:val="24"/>
                <w:szCs w:val="24"/>
              </w:rPr>
            </w:pPr>
            <w:r w:rsidRPr="001712FF">
              <w:rPr>
                <w:rFonts w:cs="Arial"/>
                <w:bCs/>
                <w:sz w:val="24"/>
                <w:szCs w:val="24"/>
              </w:rPr>
              <w:t>Declined</w:t>
            </w:r>
          </w:p>
        </w:tc>
      </w:tr>
      <w:tr w:rsidR="001F04E8" w:rsidRPr="00D216A4" w14:paraId="2AD860F2" w14:textId="77777777" w:rsidTr="58F7C961">
        <w:trPr>
          <w:trHeight w:val="420"/>
        </w:trPr>
        <w:tc>
          <w:tcPr>
            <w:tcW w:w="8298" w:type="dxa"/>
            <w:shd w:val="clear" w:color="auto" w:fill="auto"/>
          </w:tcPr>
          <w:p w14:paraId="2FA9A542" w14:textId="02876D9D" w:rsidR="001F04E8" w:rsidRPr="001712FF" w:rsidRDefault="001712FF" w:rsidP="001712F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12FF">
              <w:rPr>
                <w:rFonts w:cs="Arial"/>
                <w:sz w:val="24"/>
                <w:szCs w:val="24"/>
              </w:rPr>
              <w:t>Beyond Environmental In-House Counsel: Advising on Business Issues and Other Matters</w:t>
            </w:r>
          </w:p>
        </w:tc>
        <w:tc>
          <w:tcPr>
            <w:tcW w:w="1393" w:type="dxa"/>
            <w:shd w:val="clear" w:color="auto" w:fill="auto"/>
          </w:tcPr>
          <w:p w14:paraId="5DB60486" w14:textId="7ABEEE24" w:rsidR="001F04E8" w:rsidRPr="001712FF" w:rsidRDefault="001712FF" w:rsidP="000F2635">
            <w:pPr>
              <w:pStyle w:val="BodyText"/>
              <w:spacing w:after="120"/>
              <w:ind w:left="0"/>
              <w:rPr>
                <w:rFonts w:cs="Arial"/>
                <w:bCs/>
                <w:sz w:val="24"/>
                <w:szCs w:val="24"/>
              </w:rPr>
            </w:pPr>
            <w:r w:rsidRPr="001712FF">
              <w:rPr>
                <w:rFonts w:cs="Arial"/>
                <w:bCs/>
                <w:sz w:val="24"/>
                <w:szCs w:val="24"/>
              </w:rPr>
              <w:t>Declined</w:t>
            </w:r>
          </w:p>
        </w:tc>
      </w:tr>
      <w:tr w:rsidR="001F04E8" w:rsidRPr="00D216A4" w14:paraId="48EA6898" w14:textId="77777777" w:rsidTr="58F7C961">
        <w:trPr>
          <w:trHeight w:val="420"/>
        </w:trPr>
        <w:tc>
          <w:tcPr>
            <w:tcW w:w="8298" w:type="dxa"/>
            <w:shd w:val="clear" w:color="auto" w:fill="auto"/>
          </w:tcPr>
          <w:p w14:paraId="4EDF1850" w14:textId="25AD4045" w:rsidR="001F04E8" w:rsidRPr="001712FF" w:rsidRDefault="001712FF" w:rsidP="001712FF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1712FF">
              <w:rPr>
                <w:rFonts w:cs="Arial"/>
                <w:sz w:val="24"/>
                <w:szCs w:val="24"/>
              </w:rPr>
              <w:t>How to Prepare for (and Respond to!) OSHA Audits and Inspections</w:t>
            </w:r>
          </w:p>
        </w:tc>
        <w:tc>
          <w:tcPr>
            <w:tcW w:w="1393" w:type="dxa"/>
            <w:shd w:val="clear" w:color="auto" w:fill="auto"/>
          </w:tcPr>
          <w:p w14:paraId="4A0BFCB4" w14:textId="7023CBDC" w:rsidR="001F04E8" w:rsidRPr="001712FF" w:rsidRDefault="001712FF" w:rsidP="000F2635">
            <w:pPr>
              <w:pStyle w:val="BodyText"/>
              <w:spacing w:after="120"/>
              <w:ind w:left="0"/>
              <w:rPr>
                <w:rFonts w:cs="Arial"/>
                <w:bCs/>
                <w:sz w:val="24"/>
                <w:szCs w:val="24"/>
              </w:rPr>
            </w:pPr>
            <w:r w:rsidRPr="001712FF">
              <w:rPr>
                <w:rFonts w:cs="Arial"/>
                <w:bCs/>
                <w:sz w:val="24"/>
                <w:szCs w:val="24"/>
              </w:rPr>
              <w:t>Declined</w:t>
            </w:r>
          </w:p>
        </w:tc>
      </w:tr>
      <w:tr w:rsidR="00686244" w:rsidRPr="00D216A4" w14:paraId="3E0B715C" w14:textId="77777777" w:rsidTr="58F7C961">
        <w:tc>
          <w:tcPr>
            <w:tcW w:w="9691" w:type="dxa"/>
            <w:gridSpan w:val="2"/>
            <w:shd w:val="clear" w:color="auto" w:fill="B3B3B3"/>
          </w:tcPr>
          <w:p w14:paraId="6F8AE1F5" w14:textId="11CAE0CA" w:rsidR="00686244" w:rsidRPr="00C33F2F" w:rsidRDefault="00686244" w:rsidP="000F2635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2019</w:t>
            </w:r>
          </w:p>
        </w:tc>
      </w:tr>
      <w:tr w:rsidR="00686244" w:rsidRPr="00D216A4" w14:paraId="30D77612" w14:textId="77777777" w:rsidTr="58F7C961">
        <w:tc>
          <w:tcPr>
            <w:tcW w:w="8298" w:type="dxa"/>
            <w:shd w:val="clear" w:color="auto" w:fill="auto"/>
          </w:tcPr>
          <w:p w14:paraId="0F695AC1" w14:textId="73709029" w:rsidR="00686244" w:rsidRPr="003D7D18" w:rsidRDefault="00686244" w:rsidP="008C2B31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86244">
              <w:rPr>
                <w:rFonts w:cs="Arial"/>
                <w:sz w:val="24"/>
                <w:szCs w:val="24"/>
              </w:rPr>
              <w:t>Managing Supply Chain and Sustainability Risks in the Circular Economy: A Global Tour</w:t>
            </w:r>
          </w:p>
        </w:tc>
        <w:tc>
          <w:tcPr>
            <w:tcW w:w="1393" w:type="dxa"/>
            <w:shd w:val="clear" w:color="auto" w:fill="auto"/>
          </w:tcPr>
          <w:p w14:paraId="57CB6466" w14:textId="3CA174D6" w:rsidR="00686244" w:rsidRPr="00C33F2F" w:rsidRDefault="00C813D7" w:rsidP="00686244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100</w:t>
            </w:r>
          </w:p>
        </w:tc>
      </w:tr>
      <w:tr w:rsidR="00686244" w:rsidRPr="00D216A4" w14:paraId="35BD03D8" w14:textId="77777777" w:rsidTr="58F7C961">
        <w:tc>
          <w:tcPr>
            <w:tcW w:w="8298" w:type="dxa"/>
            <w:shd w:val="clear" w:color="auto" w:fill="auto"/>
          </w:tcPr>
          <w:p w14:paraId="54D96249" w14:textId="7A212775" w:rsidR="00686244" w:rsidRPr="003D7D18" w:rsidRDefault="00686244" w:rsidP="008C2B31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86244">
              <w:rPr>
                <w:rFonts w:cs="Arial"/>
                <w:sz w:val="24"/>
                <w:szCs w:val="24"/>
              </w:rPr>
              <w:t>Enforcement Readiness: Know the Government’s Playbook and What You Can Do Now to Reduce Risk and Foster a Culture of Compliance</w:t>
            </w:r>
          </w:p>
        </w:tc>
        <w:tc>
          <w:tcPr>
            <w:tcW w:w="1393" w:type="dxa"/>
            <w:shd w:val="clear" w:color="auto" w:fill="auto"/>
          </w:tcPr>
          <w:p w14:paraId="114FE6FF" w14:textId="77777777" w:rsidR="00C813D7" w:rsidRDefault="00C813D7" w:rsidP="00C813D7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96</w:t>
            </w:r>
          </w:p>
          <w:p w14:paraId="329C6AE1" w14:textId="41B9D5E7" w:rsidR="00C813D7" w:rsidRPr="00C33F2F" w:rsidRDefault="00C813D7" w:rsidP="00C813D7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86244" w:rsidRPr="00D216A4" w14:paraId="788C72E8" w14:textId="77777777" w:rsidTr="58F7C961">
        <w:tc>
          <w:tcPr>
            <w:tcW w:w="8298" w:type="dxa"/>
            <w:shd w:val="clear" w:color="auto" w:fill="auto"/>
          </w:tcPr>
          <w:p w14:paraId="2F494199" w14:textId="5B5B45DE" w:rsidR="00686244" w:rsidRPr="003D7D18" w:rsidRDefault="00686244" w:rsidP="008C2B31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86244">
              <w:rPr>
                <w:rFonts w:cs="Arial"/>
                <w:sz w:val="24"/>
                <w:szCs w:val="24"/>
              </w:rPr>
              <w:lastRenderedPageBreak/>
              <w:t>What In-House Environmental, Health and Safety Counsel Need to Know about Contracts</w:t>
            </w:r>
          </w:p>
        </w:tc>
        <w:tc>
          <w:tcPr>
            <w:tcW w:w="1393" w:type="dxa"/>
            <w:shd w:val="clear" w:color="auto" w:fill="auto"/>
          </w:tcPr>
          <w:p w14:paraId="2866530A" w14:textId="57BA9FBD" w:rsidR="00686244" w:rsidRPr="00C33F2F" w:rsidRDefault="00686244" w:rsidP="00686244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86244" w:rsidRPr="00D216A4" w14:paraId="30137122" w14:textId="77777777" w:rsidTr="58F7C961">
        <w:tc>
          <w:tcPr>
            <w:tcW w:w="8298" w:type="dxa"/>
            <w:shd w:val="clear" w:color="auto" w:fill="auto"/>
          </w:tcPr>
          <w:p w14:paraId="3F212B0A" w14:textId="3D392839" w:rsidR="00686244" w:rsidRPr="003D7D18" w:rsidRDefault="00686244" w:rsidP="008C2B31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86244">
              <w:rPr>
                <w:rFonts w:cs="Arial"/>
                <w:sz w:val="24"/>
                <w:szCs w:val="24"/>
              </w:rPr>
              <w:t>Due Diligence and Auditing: How to Make EPA’s New Owner Audit Policy Work for You</w:t>
            </w:r>
          </w:p>
        </w:tc>
        <w:tc>
          <w:tcPr>
            <w:tcW w:w="1393" w:type="dxa"/>
            <w:shd w:val="clear" w:color="auto" w:fill="auto"/>
          </w:tcPr>
          <w:p w14:paraId="767CE2BD" w14:textId="2D8EEEC0" w:rsidR="00686244" w:rsidRPr="00C33F2F" w:rsidRDefault="00686244" w:rsidP="00686244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86244" w:rsidRPr="00D216A4" w14:paraId="45BFDFA0" w14:textId="77777777" w:rsidTr="58F7C961">
        <w:tc>
          <w:tcPr>
            <w:tcW w:w="8298" w:type="dxa"/>
            <w:shd w:val="clear" w:color="auto" w:fill="auto"/>
          </w:tcPr>
          <w:p w14:paraId="74E80495" w14:textId="419FFD93" w:rsidR="00686244" w:rsidRPr="003D7D18" w:rsidRDefault="00686244" w:rsidP="008C2B31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86244">
              <w:rPr>
                <w:rFonts w:cs="Arial"/>
                <w:sz w:val="24"/>
                <w:szCs w:val="24"/>
              </w:rPr>
              <w:t>How to Prepare for (and Respond to!) OSHA Audits and Inspections</w:t>
            </w:r>
          </w:p>
        </w:tc>
        <w:tc>
          <w:tcPr>
            <w:tcW w:w="1393" w:type="dxa"/>
            <w:shd w:val="clear" w:color="auto" w:fill="auto"/>
          </w:tcPr>
          <w:p w14:paraId="0404C32A" w14:textId="5F6A1477" w:rsidR="00686244" w:rsidRPr="00C33F2F" w:rsidRDefault="00686244" w:rsidP="00686244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86244" w:rsidRPr="00D216A4" w14:paraId="3889D44E" w14:textId="77777777" w:rsidTr="58F7C961">
        <w:tc>
          <w:tcPr>
            <w:tcW w:w="8298" w:type="dxa"/>
            <w:shd w:val="clear" w:color="auto" w:fill="auto"/>
          </w:tcPr>
          <w:p w14:paraId="4D7AA1AD" w14:textId="33798E6A" w:rsidR="00686244" w:rsidRPr="003D7D18" w:rsidRDefault="00686244" w:rsidP="008C2B31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686244">
              <w:rPr>
                <w:rFonts w:cs="Arial"/>
                <w:sz w:val="24"/>
                <w:szCs w:val="24"/>
              </w:rPr>
              <w:t>Beyond Environmental In-House Counsel: Advising on Business Issues and Other Matters</w:t>
            </w:r>
          </w:p>
        </w:tc>
        <w:tc>
          <w:tcPr>
            <w:tcW w:w="1393" w:type="dxa"/>
            <w:shd w:val="clear" w:color="auto" w:fill="auto"/>
          </w:tcPr>
          <w:p w14:paraId="74994F73" w14:textId="77931170" w:rsidR="00686244" w:rsidRPr="00C33F2F" w:rsidRDefault="00686244" w:rsidP="00686244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686244" w:rsidRPr="00D216A4" w14:paraId="6CA14EFF" w14:textId="77777777" w:rsidTr="58F7C961">
        <w:tc>
          <w:tcPr>
            <w:tcW w:w="9691" w:type="dxa"/>
            <w:gridSpan w:val="2"/>
            <w:shd w:val="clear" w:color="auto" w:fill="B3B3B3"/>
          </w:tcPr>
          <w:p w14:paraId="0E444896" w14:textId="3DF344FC" w:rsidR="00686244" w:rsidRPr="00C33F2F" w:rsidRDefault="00686244" w:rsidP="000F2635">
            <w:pPr>
              <w:pStyle w:val="BodyText"/>
              <w:spacing w:after="120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2018 (Final attendance numbers)</w:t>
            </w:r>
          </w:p>
        </w:tc>
      </w:tr>
      <w:tr w:rsidR="003D7D18" w:rsidRPr="00D216A4" w14:paraId="33D16AD2" w14:textId="77777777" w:rsidTr="58F7C961">
        <w:tc>
          <w:tcPr>
            <w:tcW w:w="8298" w:type="dxa"/>
            <w:shd w:val="clear" w:color="auto" w:fill="auto"/>
          </w:tcPr>
          <w:p w14:paraId="5808ABEA" w14:textId="2AD33C5C" w:rsidR="003D7D18" w:rsidRPr="003D7D18" w:rsidRDefault="003D7D18" w:rsidP="003D7D18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3D7D18">
              <w:rPr>
                <w:rFonts w:cs="Arial"/>
                <w:sz w:val="24"/>
                <w:szCs w:val="24"/>
              </w:rPr>
              <w:t>Master of Some? An Environmental Primer for the 21st Century In-House Generalist</w:t>
            </w:r>
          </w:p>
        </w:tc>
        <w:tc>
          <w:tcPr>
            <w:tcW w:w="1393" w:type="dxa"/>
            <w:shd w:val="clear" w:color="auto" w:fill="auto"/>
          </w:tcPr>
          <w:p w14:paraId="5FB81383" w14:textId="24DE9F48" w:rsidR="003D7D18" w:rsidRPr="00C33F2F" w:rsidRDefault="00EA1927" w:rsidP="00397B95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  <w:r w:rsidR="00397B95">
              <w:rPr>
                <w:rFonts w:cs="Arial"/>
                <w:sz w:val="24"/>
                <w:szCs w:val="24"/>
              </w:rPr>
              <w:t>8</w:t>
            </w:r>
          </w:p>
        </w:tc>
      </w:tr>
      <w:tr w:rsidR="003D7D18" w:rsidRPr="00D216A4" w14:paraId="28372E76" w14:textId="77777777" w:rsidTr="58F7C961">
        <w:tc>
          <w:tcPr>
            <w:tcW w:w="8298" w:type="dxa"/>
            <w:shd w:val="clear" w:color="auto" w:fill="auto"/>
          </w:tcPr>
          <w:p w14:paraId="03FBD927" w14:textId="04BF5544" w:rsidR="003D7D18" w:rsidRPr="003D7D18" w:rsidRDefault="003D7D18" w:rsidP="003D7D18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3D7D18">
              <w:rPr>
                <w:rFonts w:cs="Arial"/>
                <w:sz w:val="24"/>
                <w:szCs w:val="24"/>
              </w:rPr>
              <w:t>Defending US Environmental and Tort Litigation in the New Era of Trace Contaminants</w:t>
            </w:r>
          </w:p>
        </w:tc>
        <w:tc>
          <w:tcPr>
            <w:tcW w:w="1393" w:type="dxa"/>
            <w:shd w:val="clear" w:color="auto" w:fill="auto"/>
          </w:tcPr>
          <w:p w14:paraId="6FC65EFE" w14:textId="2A481967" w:rsidR="003D7D18" w:rsidRPr="00C33F2F" w:rsidRDefault="00397B95" w:rsidP="00397B95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39</w:t>
            </w:r>
          </w:p>
        </w:tc>
      </w:tr>
      <w:tr w:rsidR="003D7D18" w:rsidRPr="00D216A4" w14:paraId="7F791649" w14:textId="77777777" w:rsidTr="58F7C961">
        <w:tc>
          <w:tcPr>
            <w:tcW w:w="8298" w:type="dxa"/>
            <w:shd w:val="clear" w:color="auto" w:fill="auto"/>
          </w:tcPr>
          <w:p w14:paraId="67FE25D4" w14:textId="3B36BBE3" w:rsidR="003D7D18" w:rsidRPr="003D7D18" w:rsidRDefault="003D7D18" w:rsidP="003D7D18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3D7D18">
              <w:rPr>
                <w:rFonts w:cs="Arial"/>
                <w:sz w:val="24"/>
                <w:szCs w:val="24"/>
              </w:rPr>
              <w:t>High Anxiety of M&amp;A: Do you have your ducks in a row?  Advanced Issues in Real Estate, Environmental &amp; Sustainability Due Diligence &amp; Negotiations in M&amp;A Deals</w:t>
            </w:r>
          </w:p>
        </w:tc>
        <w:tc>
          <w:tcPr>
            <w:tcW w:w="1393" w:type="dxa"/>
            <w:shd w:val="clear" w:color="auto" w:fill="auto"/>
          </w:tcPr>
          <w:p w14:paraId="1BFE225D" w14:textId="213234B8" w:rsidR="003D7D18" w:rsidRPr="00C33F2F" w:rsidRDefault="003D7D18" w:rsidP="00397B95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  <w:tr w:rsidR="003D7D18" w:rsidRPr="00D216A4" w14:paraId="093029A3" w14:textId="77777777" w:rsidTr="58F7C961">
        <w:tc>
          <w:tcPr>
            <w:tcW w:w="8298" w:type="dxa"/>
            <w:shd w:val="clear" w:color="auto" w:fill="auto"/>
          </w:tcPr>
          <w:p w14:paraId="6358D9D1" w14:textId="3DD2D76B" w:rsidR="003D7D18" w:rsidRPr="003D7D18" w:rsidRDefault="003D7D18" w:rsidP="003D7D18">
            <w:pPr>
              <w:pStyle w:val="BodyText"/>
              <w:spacing w:after="120"/>
              <w:ind w:left="0"/>
              <w:jc w:val="left"/>
              <w:rPr>
                <w:rFonts w:cs="Arial"/>
                <w:sz w:val="24"/>
                <w:szCs w:val="24"/>
              </w:rPr>
            </w:pPr>
            <w:proofErr w:type="gramStart"/>
            <w:r w:rsidRPr="003D7D18">
              <w:rPr>
                <w:rFonts w:cs="Arial"/>
                <w:sz w:val="24"/>
                <w:szCs w:val="24"/>
              </w:rPr>
              <w:t>Three dimensional</w:t>
            </w:r>
            <w:proofErr w:type="gramEnd"/>
            <w:r w:rsidRPr="003D7D18">
              <w:rPr>
                <w:rFonts w:cs="Arial"/>
                <w:sz w:val="24"/>
                <w:szCs w:val="24"/>
              </w:rPr>
              <w:t xml:space="preserve"> chess: how to play and win at rulemaking under the Administrative Procedures Act</w:t>
            </w:r>
          </w:p>
        </w:tc>
        <w:tc>
          <w:tcPr>
            <w:tcW w:w="1393" w:type="dxa"/>
            <w:shd w:val="clear" w:color="auto" w:fill="auto"/>
          </w:tcPr>
          <w:p w14:paraId="62A904F6" w14:textId="3281DFB5" w:rsidR="003D7D18" w:rsidRPr="00C33F2F" w:rsidRDefault="003D7D18" w:rsidP="00397B95">
            <w:pPr>
              <w:pStyle w:val="BodyText"/>
              <w:spacing w:after="120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Declined</w:t>
            </w:r>
          </w:p>
        </w:tc>
      </w:tr>
    </w:tbl>
    <w:p w14:paraId="3CF141E0" w14:textId="596D0978" w:rsidR="007251B0" w:rsidRDefault="007251B0" w:rsidP="00D7205D">
      <w:pPr>
        <w:pStyle w:val="Heading1"/>
        <w:ind w:left="0"/>
        <w:rPr>
          <w:caps/>
          <w:sz w:val="24"/>
          <w:szCs w:val="24"/>
        </w:rPr>
      </w:pPr>
    </w:p>
    <w:p w14:paraId="1536BC37" w14:textId="7678A084" w:rsidR="00402105" w:rsidRPr="00D216A4" w:rsidRDefault="00B40315" w:rsidP="00D7205D">
      <w:pPr>
        <w:pStyle w:val="Heading1"/>
        <w:ind w:left="0"/>
        <w:rPr>
          <w:caps/>
          <w:sz w:val="24"/>
          <w:szCs w:val="24"/>
        </w:rPr>
      </w:pPr>
      <w:r>
        <w:rPr>
          <w:caps/>
          <w:sz w:val="24"/>
          <w:szCs w:val="24"/>
        </w:rPr>
        <w:t>201</w:t>
      </w:r>
      <w:r w:rsidR="00B22459">
        <w:rPr>
          <w:caps/>
          <w:sz w:val="24"/>
          <w:szCs w:val="24"/>
        </w:rPr>
        <w:t>9</w:t>
      </w:r>
      <w:r>
        <w:rPr>
          <w:caps/>
          <w:sz w:val="24"/>
          <w:szCs w:val="24"/>
        </w:rPr>
        <w:t>-</w:t>
      </w:r>
      <w:r w:rsidR="00E76486">
        <w:rPr>
          <w:caps/>
          <w:sz w:val="24"/>
          <w:szCs w:val="24"/>
        </w:rPr>
        <w:t>20</w:t>
      </w:r>
      <w:r w:rsidR="00B22459">
        <w:rPr>
          <w:caps/>
          <w:sz w:val="24"/>
          <w:szCs w:val="24"/>
        </w:rPr>
        <w:t>20</w:t>
      </w:r>
      <w:r w:rsidR="001227E0">
        <w:rPr>
          <w:caps/>
          <w:sz w:val="24"/>
          <w:szCs w:val="24"/>
        </w:rPr>
        <w:t xml:space="preserve"> E&amp;S </w:t>
      </w:r>
      <w:r w:rsidR="003D7D18">
        <w:rPr>
          <w:caps/>
          <w:sz w:val="24"/>
          <w:szCs w:val="24"/>
        </w:rPr>
        <w:t>Network</w:t>
      </w:r>
      <w:r w:rsidR="001227E0">
        <w:rPr>
          <w:caps/>
          <w:sz w:val="24"/>
          <w:szCs w:val="24"/>
        </w:rPr>
        <w:t xml:space="preserve"> Member Survey</w:t>
      </w:r>
      <w:r w:rsidR="00402105" w:rsidRPr="00D216A4">
        <w:rPr>
          <w:caps/>
          <w:sz w:val="24"/>
          <w:szCs w:val="24"/>
        </w:rPr>
        <w:t xml:space="preserve"> Suggested Topics</w:t>
      </w:r>
    </w:p>
    <w:p w14:paraId="2A479890" w14:textId="34A51549" w:rsidR="009C3D24" w:rsidRPr="009C3D24" w:rsidRDefault="009C3D24" w:rsidP="009C3D24">
      <w:pPr>
        <w:pStyle w:val="BodyText"/>
        <w:ind w:left="0"/>
        <w:rPr>
          <w:sz w:val="24"/>
          <w:szCs w:val="24"/>
          <w:u w:val="single"/>
        </w:rPr>
      </w:pPr>
      <w:r w:rsidRPr="009C3D24">
        <w:rPr>
          <w:sz w:val="24"/>
          <w:szCs w:val="24"/>
          <w:u w:val="single"/>
        </w:rPr>
        <w:t>Most popular topics, in decreasing order:</w:t>
      </w:r>
    </w:p>
    <w:p w14:paraId="50C69E05" w14:textId="72130807" w:rsidR="00756090" w:rsidRDefault="007D2492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Environmental Transaction Issues (e.g. Due Diligence, Risk Management)</w:t>
      </w:r>
    </w:p>
    <w:p w14:paraId="1F638C79" w14:textId="48A093F5" w:rsidR="00174678" w:rsidRDefault="007D2492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Air and Climate Change (e.g. CAA, carbon markets)</w:t>
      </w:r>
    </w:p>
    <w:p w14:paraId="5E100A97" w14:textId="700AA9B1" w:rsidR="00A6492C" w:rsidRDefault="007D2492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Facility Inspection/Audits</w:t>
      </w:r>
    </w:p>
    <w:p w14:paraId="6E675AF9" w14:textId="7CAFA3D1" w:rsidR="00A6492C" w:rsidRPr="007D2492" w:rsidRDefault="007D2492" w:rsidP="007D2492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Waste Management (e.g. RCRA)</w:t>
      </w:r>
    </w:p>
    <w:p w14:paraId="14277EB3" w14:textId="792C76C4" w:rsidR="00A6492C" w:rsidRDefault="00A11AED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Environmental Disclosures &amp; Performance Reporting (e.g. SEC, sustainability reporting)</w:t>
      </w:r>
    </w:p>
    <w:p w14:paraId="39D5487F" w14:textId="5130273C" w:rsidR="007D2492" w:rsidRDefault="007D2492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Contaminated Site Cleanup and Development (e.g. CERCLA, Brownfields)</w:t>
      </w:r>
    </w:p>
    <w:p w14:paraId="3F5E15D1" w14:textId="0BA39E18" w:rsidR="007D2492" w:rsidRPr="007D2492" w:rsidRDefault="007D2492" w:rsidP="007D2492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Water Quality (e.g. CWA, SDWA)</w:t>
      </w:r>
    </w:p>
    <w:p w14:paraId="482F8A26" w14:textId="6CBB75B7" w:rsidR="00A11AED" w:rsidRDefault="00A11AED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Environmental Litigation</w:t>
      </w:r>
      <w:r w:rsidR="007D2492">
        <w:rPr>
          <w:sz w:val="24"/>
          <w:szCs w:val="24"/>
        </w:rPr>
        <w:t xml:space="preserve"> (including tox tort)</w:t>
      </w:r>
    </w:p>
    <w:p w14:paraId="04C4B7D0" w14:textId="04A08605" w:rsidR="00A11AED" w:rsidRDefault="00A11AED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Chemical Management (e.g., TSCA)</w:t>
      </w:r>
    </w:p>
    <w:p w14:paraId="7D42BED9" w14:textId="54D985D2" w:rsidR="00A11AED" w:rsidRPr="00756090" w:rsidRDefault="007D2492" w:rsidP="008E6A2D">
      <w:pPr>
        <w:pStyle w:val="BodyText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Transportation Issues (</w:t>
      </w:r>
      <w:proofErr w:type="spellStart"/>
      <w:r>
        <w:rPr>
          <w:sz w:val="24"/>
          <w:szCs w:val="24"/>
        </w:rPr>
        <w:t>eg.</w:t>
      </w:r>
      <w:proofErr w:type="spellEnd"/>
      <w:r>
        <w:rPr>
          <w:sz w:val="24"/>
          <w:szCs w:val="24"/>
        </w:rPr>
        <w:t xml:space="preserve"> DOT, FAA)</w:t>
      </w:r>
    </w:p>
    <w:p w14:paraId="4F5215FD" w14:textId="77777777" w:rsidR="00C33F2F" w:rsidRDefault="00C33F2F" w:rsidP="00C33F2F">
      <w:pPr>
        <w:pStyle w:val="BodyText"/>
        <w:spacing w:after="0"/>
        <w:rPr>
          <w:sz w:val="24"/>
          <w:szCs w:val="24"/>
        </w:rPr>
      </w:pPr>
    </w:p>
    <w:p w14:paraId="4C8279E1" w14:textId="77777777" w:rsidR="00C33F2F" w:rsidRDefault="00C33F2F" w:rsidP="00C33F2F">
      <w:pPr>
        <w:pStyle w:val="BodyText"/>
        <w:spacing w:after="0"/>
        <w:rPr>
          <w:sz w:val="24"/>
          <w:szCs w:val="24"/>
        </w:rPr>
      </w:pPr>
    </w:p>
    <w:p w14:paraId="2BE53837" w14:textId="113D5720" w:rsidR="00C33F2F" w:rsidRDefault="00C33F2F" w:rsidP="00C33F2F">
      <w:pPr>
        <w:pStyle w:val="BodyText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Additional suggestions</w:t>
      </w:r>
      <w:r w:rsidRPr="009C3D24">
        <w:rPr>
          <w:sz w:val="24"/>
          <w:szCs w:val="24"/>
          <w:u w:val="single"/>
        </w:rPr>
        <w:t>:</w:t>
      </w:r>
    </w:p>
    <w:p w14:paraId="44DDE6CA" w14:textId="77777777" w:rsidR="008A6CE7" w:rsidRDefault="008A6CE7" w:rsidP="008A6CE7">
      <w:pPr>
        <w:pStyle w:val="ListParagraph"/>
        <w:numPr>
          <w:ilvl w:val="0"/>
          <w:numId w:val="32"/>
        </w:numPr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PFAS/PFOA</w:t>
      </w:r>
    </w:p>
    <w:p w14:paraId="0FEBAF53" w14:textId="77777777" w:rsidR="008A6CE7" w:rsidRDefault="008A6CE7" w:rsidP="008A6CE7">
      <w:pPr>
        <w:pStyle w:val="ListParagraph"/>
        <w:numPr>
          <w:ilvl w:val="0"/>
          <w:numId w:val="32"/>
        </w:numPr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In-House </w:t>
      </w:r>
      <w:proofErr w:type="spellStart"/>
      <w:r>
        <w:rPr>
          <w:rFonts w:cs="Arial"/>
          <w:spacing w:val="0"/>
          <w:sz w:val="24"/>
          <w:szCs w:val="24"/>
        </w:rPr>
        <w:t>priviledge</w:t>
      </w:r>
      <w:proofErr w:type="spellEnd"/>
      <w:r>
        <w:rPr>
          <w:rFonts w:cs="Arial"/>
          <w:spacing w:val="0"/>
          <w:sz w:val="24"/>
          <w:szCs w:val="24"/>
        </w:rPr>
        <w:t xml:space="preserve"> for internal EH&amp;S investigations</w:t>
      </w:r>
    </w:p>
    <w:p w14:paraId="5FB1B1C2" w14:textId="17774724" w:rsidR="008A6CE7" w:rsidRDefault="008A6CE7" w:rsidP="008A6CE7">
      <w:pPr>
        <w:pStyle w:val="ListParagraph"/>
        <w:numPr>
          <w:ilvl w:val="0"/>
          <w:numId w:val="32"/>
        </w:numPr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ESG reporting</w:t>
      </w:r>
    </w:p>
    <w:p w14:paraId="1564EF9D" w14:textId="77777777" w:rsidR="008A6CE7" w:rsidRPr="00704B16" w:rsidRDefault="008A6CE7" w:rsidP="008A6CE7">
      <w:pPr>
        <w:pStyle w:val="ListParagraph"/>
        <w:numPr>
          <w:ilvl w:val="0"/>
          <w:numId w:val="32"/>
        </w:numPr>
        <w:tabs>
          <w:tab w:val="left" w:pos="9800"/>
        </w:tabs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lastRenderedPageBreak/>
        <w:t>CAA Basics, Environmental Indemnity, Risk Management</w:t>
      </w:r>
    </w:p>
    <w:p w14:paraId="5C491ED1" w14:textId="77777777" w:rsidR="008A6CE7" w:rsidRDefault="008A6CE7" w:rsidP="008A6CE7">
      <w:pPr>
        <w:pStyle w:val="ListParagraph"/>
        <w:numPr>
          <w:ilvl w:val="0"/>
          <w:numId w:val="32"/>
        </w:numPr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M&amp;A Due Diligence for environmental matters and CERC</w:t>
      </w:r>
      <w:r w:rsidRPr="00D10501">
        <w:rPr>
          <w:rFonts w:cs="Arial"/>
          <w:spacing w:val="0"/>
          <w:sz w:val="24"/>
          <w:szCs w:val="24"/>
        </w:rPr>
        <w:t>LA implications</w:t>
      </w:r>
    </w:p>
    <w:p w14:paraId="55F0E3ED" w14:textId="7C302E62" w:rsidR="008A6CE7" w:rsidRDefault="008A6CE7" w:rsidP="008A6CE7">
      <w:pPr>
        <w:pStyle w:val="ListParagraph"/>
        <w:numPr>
          <w:ilvl w:val="0"/>
          <w:numId w:val="32"/>
        </w:numPr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Sustainable energy development</w:t>
      </w:r>
    </w:p>
    <w:p w14:paraId="79441B72" w14:textId="77777777" w:rsidR="008A6CE7" w:rsidRPr="00C33F2F" w:rsidRDefault="008A6CE7" w:rsidP="00C33F2F">
      <w:pPr>
        <w:pStyle w:val="BodyText"/>
        <w:ind w:left="0"/>
        <w:rPr>
          <w:sz w:val="24"/>
          <w:szCs w:val="24"/>
          <w:u w:val="single"/>
        </w:rPr>
      </w:pPr>
    </w:p>
    <w:p w14:paraId="63070DB1" w14:textId="77777777" w:rsidR="003D5EC1" w:rsidRPr="00B40315" w:rsidRDefault="003D5EC1" w:rsidP="00C33F2F">
      <w:pPr>
        <w:pStyle w:val="BodyText"/>
        <w:spacing w:after="0"/>
        <w:ind w:left="0"/>
        <w:rPr>
          <w:sz w:val="24"/>
          <w:szCs w:val="24"/>
        </w:rPr>
      </w:pPr>
    </w:p>
    <w:p w14:paraId="0AC22E9D" w14:textId="77777777" w:rsidR="007251B0" w:rsidRDefault="007251B0" w:rsidP="00D7205D">
      <w:pPr>
        <w:pStyle w:val="Heading1"/>
        <w:ind w:left="0"/>
        <w:rPr>
          <w:caps/>
          <w:sz w:val="24"/>
          <w:szCs w:val="24"/>
        </w:rPr>
      </w:pPr>
    </w:p>
    <w:p w14:paraId="03D055D2" w14:textId="7649D8DE" w:rsidR="00402105" w:rsidRPr="00D216A4" w:rsidRDefault="00402105" w:rsidP="00D7205D">
      <w:pPr>
        <w:pStyle w:val="Heading1"/>
        <w:ind w:left="0"/>
        <w:rPr>
          <w:caps/>
          <w:sz w:val="24"/>
          <w:szCs w:val="24"/>
        </w:rPr>
      </w:pPr>
      <w:r w:rsidRPr="00D216A4">
        <w:rPr>
          <w:caps/>
          <w:sz w:val="24"/>
          <w:szCs w:val="24"/>
        </w:rPr>
        <w:t>201</w:t>
      </w:r>
      <w:r w:rsidR="00EA1CC5">
        <w:rPr>
          <w:caps/>
          <w:sz w:val="24"/>
          <w:szCs w:val="24"/>
        </w:rPr>
        <w:t>8</w:t>
      </w:r>
      <w:r w:rsidRPr="00D216A4">
        <w:rPr>
          <w:caps/>
          <w:sz w:val="24"/>
          <w:szCs w:val="24"/>
        </w:rPr>
        <w:t>-20</w:t>
      </w:r>
      <w:r w:rsidR="00EA1CC5">
        <w:rPr>
          <w:caps/>
          <w:sz w:val="24"/>
          <w:szCs w:val="24"/>
        </w:rPr>
        <w:t>20</w:t>
      </w:r>
      <w:r w:rsidR="00B40315">
        <w:rPr>
          <w:caps/>
          <w:sz w:val="24"/>
          <w:szCs w:val="24"/>
        </w:rPr>
        <w:t xml:space="preserve"> </w:t>
      </w:r>
      <w:r w:rsidR="002F4050">
        <w:rPr>
          <w:caps/>
          <w:sz w:val="24"/>
          <w:szCs w:val="24"/>
        </w:rPr>
        <w:t>Environmental &amp; Sustainability Online Event</w:t>
      </w:r>
      <w:r w:rsidRPr="00D216A4">
        <w:rPr>
          <w:caps/>
          <w:sz w:val="24"/>
          <w:szCs w:val="24"/>
        </w:rPr>
        <w:t xml:space="preserve"> Attendance Numbers</w:t>
      </w:r>
    </w:p>
    <w:p w14:paraId="2F2B7B98" w14:textId="77777777" w:rsidR="00897080" w:rsidRPr="009F348A" w:rsidRDefault="00897080" w:rsidP="00897080">
      <w:pPr>
        <w:pStyle w:val="BodyText"/>
        <w:ind w:left="0"/>
        <w:rPr>
          <w:sz w:val="22"/>
          <w:szCs w:val="22"/>
        </w:rPr>
      </w:pPr>
      <w:r w:rsidRPr="00272FB7">
        <w:rPr>
          <w:sz w:val="22"/>
          <w:szCs w:val="22"/>
          <w:u w:val="single"/>
        </w:rPr>
        <w:t>APAC Call</w:t>
      </w:r>
      <w:r>
        <w:rPr>
          <w:sz w:val="22"/>
          <w:szCs w:val="22"/>
        </w:rPr>
        <w:t xml:space="preserve"> (APAC) </w:t>
      </w:r>
      <w:r w:rsidRPr="009F348A">
        <w:rPr>
          <w:sz w:val="22"/>
          <w:szCs w:val="22"/>
        </w:rPr>
        <w:t>– One-hour live presentations on the latest legal trends</w:t>
      </w:r>
      <w:r>
        <w:rPr>
          <w:sz w:val="22"/>
          <w:szCs w:val="22"/>
        </w:rPr>
        <w:t xml:space="preserve"> affecting organizations in the Asia-Pacific region and multinational companies</w:t>
      </w:r>
      <w:r w:rsidRPr="009F348A">
        <w:rPr>
          <w:sz w:val="22"/>
          <w:szCs w:val="22"/>
        </w:rPr>
        <w:t>. Available live or on-demand through the ACC Education Archive. CLE/CPD credit available for a fee.</w:t>
      </w:r>
    </w:p>
    <w:p w14:paraId="3231517C" w14:textId="77777777" w:rsidR="00897080" w:rsidRPr="009F348A" w:rsidRDefault="00897080" w:rsidP="00897080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EMEA Call (EMEA) </w:t>
      </w:r>
      <w:r w:rsidRPr="009F348A">
        <w:rPr>
          <w:sz w:val="22"/>
          <w:szCs w:val="22"/>
        </w:rPr>
        <w:t xml:space="preserve">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</w:t>
      </w:r>
      <w:r>
        <w:rPr>
          <w:sz w:val="22"/>
          <w:szCs w:val="22"/>
        </w:rPr>
        <w:t xml:space="preserve"> affecting organizations in Europe, Africa, and/or the Middle East and multinational companies</w:t>
      </w:r>
      <w:r w:rsidRPr="009F348A">
        <w:rPr>
          <w:sz w:val="22"/>
          <w:szCs w:val="22"/>
        </w:rPr>
        <w:t>. Available live or on-demand through the ACC Education Archive.</w:t>
      </w:r>
      <w:r>
        <w:rPr>
          <w:sz w:val="22"/>
          <w:szCs w:val="22"/>
        </w:rPr>
        <w:t xml:space="preserve"> </w:t>
      </w:r>
      <w:r w:rsidRPr="009F348A">
        <w:rPr>
          <w:sz w:val="22"/>
          <w:szCs w:val="22"/>
        </w:rPr>
        <w:t>No CLE/CPD credit available.</w:t>
      </w:r>
    </w:p>
    <w:p w14:paraId="290FBEAA" w14:textId="00C49369" w:rsidR="00897080" w:rsidRDefault="00897080" w:rsidP="00897080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Legal Quick Hit (LQH)</w:t>
      </w:r>
      <w:r w:rsidR="00E7466E">
        <w:rPr>
          <w:sz w:val="22"/>
          <w:szCs w:val="22"/>
        </w:rPr>
        <w:t xml:space="preserve"> – Short (20 to 45</w:t>
      </w:r>
      <w:r w:rsidRPr="009F348A">
        <w:rPr>
          <w:sz w:val="22"/>
          <w:szCs w:val="22"/>
        </w:rPr>
        <w:t xml:space="preserve">-minute) presentations on the latest legal trends made on the monthly </w:t>
      </w:r>
      <w:r w:rsidR="003D7D18">
        <w:rPr>
          <w:sz w:val="22"/>
          <w:szCs w:val="22"/>
        </w:rPr>
        <w:t>Network</w:t>
      </w:r>
      <w:r w:rsidRPr="009F348A">
        <w:rPr>
          <w:sz w:val="22"/>
          <w:szCs w:val="22"/>
        </w:rPr>
        <w:t xml:space="preserve"> Teleconference calls. Available live or on-demand through the ACC Education Archive. No CLE/CPD credit available.</w:t>
      </w:r>
    </w:p>
    <w:p w14:paraId="5C125793" w14:textId="77777777" w:rsidR="00897080" w:rsidRPr="009F348A" w:rsidRDefault="00897080" w:rsidP="00897080">
      <w:pPr>
        <w:pStyle w:val="BodyText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Roundtable Discussion</w:t>
      </w:r>
      <w:r w:rsidRPr="009F348A">
        <w:rPr>
          <w:sz w:val="22"/>
          <w:szCs w:val="22"/>
          <w:u w:val="single"/>
        </w:rPr>
        <w:t xml:space="preserve"> (</w:t>
      </w:r>
      <w:r>
        <w:rPr>
          <w:sz w:val="22"/>
          <w:szCs w:val="22"/>
          <w:u w:val="single"/>
        </w:rPr>
        <w:t>R</w:t>
      </w:r>
      <w:r w:rsidRPr="009F348A">
        <w:rPr>
          <w:sz w:val="22"/>
          <w:szCs w:val="22"/>
          <w:u w:val="single"/>
        </w:rPr>
        <w:t>)</w:t>
      </w:r>
      <w:r w:rsidRPr="009F348A">
        <w:rPr>
          <w:sz w:val="22"/>
          <w:szCs w:val="22"/>
        </w:rPr>
        <w:t xml:space="preserve"> – </w:t>
      </w:r>
      <w:r>
        <w:rPr>
          <w:sz w:val="22"/>
          <w:szCs w:val="22"/>
        </w:rPr>
        <w:t>Thirty-minute-</w:t>
      </w:r>
      <w:proofErr w:type="gramStart"/>
      <w:r>
        <w:rPr>
          <w:sz w:val="22"/>
          <w:szCs w:val="22"/>
        </w:rPr>
        <w:t>one hour</w:t>
      </w:r>
      <w:proofErr w:type="gramEnd"/>
      <w:r w:rsidRPr="009F348A">
        <w:rPr>
          <w:sz w:val="22"/>
          <w:szCs w:val="22"/>
        </w:rPr>
        <w:t xml:space="preserve"> live presentations on the latest legal trends </w:t>
      </w:r>
      <w:r>
        <w:rPr>
          <w:sz w:val="22"/>
          <w:szCs w:val="22"/>
        </w:rPr>
        <w:t>featuring an interactive discussion between two or more industry or topic area experts</w:t>
      </w:r>
      <w:r w:rsidRPr="009F348A">
        <w:rPr>
          <w:sz w:val="22"/>
          <w:szCs w:val="22"/>
        </w:rPr>
        <w:t>. Available live or on-demand through the ACC Education Archive. No CLE/CPD credit available.</w:t>
      </w:r>
    </w:p>
    <w:p w14:paraId="480A0A27" w14:textId="46B302A6" w:rsidR="008523EC" w:rsidRDefault="00897080" w:rsidP="00402105">
      <w:pPr>
        <w:pStyle w:val="BodyText"/>
        <w:ind w:left="0"/>
        <w:rPr>
          <w:sz w:val="22"/>
          <w:szCs w:val="22"/>
        </w:rPr>
      </w:pPr>
      <w:r w:rsidRPr="009F348A">
        <w:rPr>
          <w:sz w:val="22"/>
          <w:szCs w:val="22"/>
          <w:u w:val="single"/>
        </w:rPr>
        <w:t>Webcast (W)</w:t>
      </w:r>
      <w:r w:rsidRPr="009F348A">
        <w:rPr>
          <w:sz w:val="22"/>
          <w:szCs w:val="22"/>
        </w:rPr>
        <w:t xml:space="preserve"> – One-hour live presentations on the latest legal trends. Available live or on-demand through the ACC Education Archive. CLE/CPD credit available for a fee</w:t>
      </w:r>
    </w:p>
    <w:p w14:paraId="44344279" w14:textId="77777777" w:rsidR="008523EC" w:rsidRDefault="008523EC" w:rsidP="00402105">
      <w:pPr>
        <w:pStyle w:val="BodyText"/>
        <w:ind w:left="0"/>
        <w:rPr>
          <w:sz w:val="22"/>
          <w:szCs w:val="22"/>
        </w:rPr>
      </w:pPr>
    </w:p>
    <w:p w14:paraId="23E700AA" w14:textId="77777777" w:rsidR="008523EC" w:rsidRDefault="008523EC" w:rsidP="00402105">
      <w:pPr>
        <w:pStyle w:val="BodyText"/>
        <w:ind w:left="0"/>
        <w:rPr>
          <w:sz w:val="22"/>
          <w:szCs w:val="22"/>
        </w:rPr>
      </w:pPr>
    </w:p>
    <w:tbl>
      <w:tblPr>
        <w:tblStyle w:val="MediumShading1"/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6131"/>
        <w:gridCol w:w="1115"/>
        <w:gridCol w:w="1332"/>
      </w:tblGrid>
      <w:tr w:rsidR="00365C11" w:rsidRPr="00D216A4" w14:paraId="02F0F009" w14:textId="77777777" w:rsidTr="00116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8AABF59" w14:textId="3C795833" w:rsidR="00365C11" w:rsidRPr="00D216A4" w:rsidRDefault="00365C11" w:rsidP="00402105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Date</w:t>
            </w:r>
          </w:p>
        </w:tc>
        <w:tc>
          <w:tcPr>
            <w:tcW w:w="613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97B774C" w14:textId="1639789E" w:rsidR="00365C11" w:rsidRPr="00D216A4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Event Title</w:t>
            </w:r>
          </w:p>
        </w:tc>
        <w:tc>
          <w:tcPr>
            <w:tcW w:w="111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09C80C4" w14:textId="13B4CD4A" w:rsidR="00365C11" w:rsidRPr="00D216A4" w:rsidRDefault="00E7466E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 Type</w:t>
            </w:r>
          </w:p>
        </w:tc>
        <w:tc>
          <w:tcPr>
            <w:tcW w:w="133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F04B718" w14:textId="47B84B66" w:rsidR="00365C11" w:rsidRPr="00D216A4" w:rsidRDefault="00365C11" w:rsidP="00402105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Attendees</w:t>
            </w:r>
          </w:p>
        </w:tc>
      </w:tr>
      <w:tr w:rsidR="001164EA" w:rsidRPr="00C415EC" w14:paraId="0400906F" w14:textId="77777777" w:rsidTr="0009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  <w:gridSpan w:val="4"/>
            <w:vAlign w:val="center"/>
          </w:tcPr>
          <w:p w14:paraId="2DCF47C1" w14:textId="20CFEDC7" w:rsidR="001164EA" w:rsidRPr="00C415EC" w:rsidRDefault="001164EA" w:rsidP="00144DE8">
            <w:pPr>
              <w:pStyle w:val="BodyText"/>
              <w:spacing w:after="120"/>
              <w:ind w:left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</w:t>
            </w:r>
            <w:r w:rsidR="00EA1CC5">
              <w:rPr>
                <w:rFonts w:cs="Arial"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color w:val="000000"/>
                <w:sz w:val="24"/>
                <w:szCs w:val="24"/>
              </w:rPr>
              <w:t>-20</w:t>
            </w:r>
            <w:r w:rsidR="00EA1CC5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EA1CC5" w:rsidRPr="00EA1CC5" w14:paraId="7D4722FC" w14:textId="77777777" w:rsidTr="006C1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0E383700" w14:textId="1090748A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9/1/20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A2B406" w14:textId="37579E81" w:rsidR="00EA1CC5" w:rsidRPr="0086265D" w:rsidRDefault="00EA1CC5" w:rsidP="00EA1CC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Navigating the U.S. and International Plastics Landscape in 2020 and Beyond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E1066D" w14:textId="181BD638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4C03893" w14:textId="41C19333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38</w:t>
            </w:r>
          </w:p>
        </w:tc>
      </w:tr>
      <w:tr w:rsidR="00EA1CC5" w:rsidRPr="00EA1CC5" w14:paraId="66B95B71" w14:textId="77777777" w:rsidTr="006C1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06E4CB14" w14:textId="2173D869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7/7/20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F8035" w14:textId="3636BCA1" w:rsidR="00EA1CC5" w:rsidRPr="0086265D" w:rsidRDefault="00EA1CC5" w:rsidP="00EA1CC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 xml:space="preserve">Cleaning &amp; Disinfecting Workplaces: What Your Company Needs </w:t>
            </w:r>
            <w:proofErr w:type="gramStart"/>
            <w:r w:rsidRPr="00EA1CC5">
              <w:rPr>
                <w:rFonts w:cs="Arial"/>
                <w:color w:val="000000"/>
                <w:sz w:val="24"/>
                <w:szCs w:val="24"/>
              </w:rPr>
              <w:t>To</w:t>
            </w:r>
            <w:proofErr w:type="gramEnd"/>
            <w:r w:rsidRPr="00EA1CC5">
              <w:rPr>
                <w:rFonts w:cs="Arial"/>
                <w:color w:val="000000"/>
                <w:sz w:val="24"/>
                <w:szCs w:val="24"/>
              </w:rPr>
              <w:t xml:space="preserve"> Know About Selecting And Using Disinfectant Products in the US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61EBD" w14:textId="3838498A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305F5F4" w14:textId="2FF172A4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59</w:t>
            </w:r>
          </w:p>
        </w:tc>
      </w:tr>
      <w:tr w:rsidR="00EA1CC5" w:rsidRPr="00EA1CC5" w14:paraId="535745CA" w14:textId="77777777" w:rsidTr="006C1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6FF5FB07" w14:textId="213CBAF8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6/2/20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AC3AD9" w14:textId="77780E5F" w:rsidR="00EA1CC5" w:rsidRPr="0086265D" w:rsidRDefault="00EA1CC5" w:rsidP="00EA1CC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Co-sponsored LQH with Corporate Securities Law What Does the COVID-19 Pandemic Mean for Global Corporate Sustainability?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5A61AF" w14:textId="626A05A1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2626206" w14:textId="5E54E1D5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57</w:t>
            </w:r>
          </w:p>
        </w:tc>
      </w:tr>
      <w:tr w:rsidR="00EA1CC5" w:rsidRPr="00EA1CC5" w14:paraId="43E166E5" w14:textId="77777777" w:rsidTr="006C1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561D2668" w14:textId="17F3FB5E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5/5/20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573D52" w14:textId="3BDF32EB" w:rsidR="00EA1CC5" w:rsidRPr="0086265D" w:rsidRDefault="00EA1CC5" w:rsidP="00EA1CC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COVID-Related Delays or Disruption to U.S. Remediation Work: Immediate Actions and Future Planning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D84EF4" w14:textId="1866CACE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D59AA28" w14:textId="3530E430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</w:tr>
      <w:tr w:rsidR="00EA1CC5" w:rsidRPr="00EA1CC5" w14:paraId="23BA163B" w14:textId="77777777" w:rsidTr="006C1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39353908" w14:textId="23D989AD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lastRenderedPageBreak/>
              <w:t>4/7/20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D9B994" w14:textId="620080BD" w:rsidR="00EA1CC5" w:rsidRPr="0086265D" w:rsidRDefault="00EA1CC5" w:rsidP="00EA1CC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Your Guide to the COVID-19 Guidance: Breaking Down the Latest from U.S. EPA and OSHA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13C28" w14:textId="3A7F0818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6A5D98C1" w14:textId="6B780302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69</w:t>
            </w:r>
          </w:p>
        </w:tc>
      </w:tr>
      <w:tr w:rsidR="00EA1CC5" w:rsidRPr="00EA1CC5" w14:paraId="384FF90C" w14:textId="77777777" w:rsidTr="006C1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34F3A169" w14:textId="2C7C5FAF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3/3/20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841A08" w14:textId="1DEA13CD" w:rsidR="00EA1CC5" w:rsidRPr="0086265D" w:rsidRDefault="00EA1CC5" w:rsidP="00EA1CC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Notification and Payment Obligations Under U.S. EPA’s TSCA Fees Rule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E75310" w14:textId="36665098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C6A6276" w14:textId="670D75E9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22</w:t>
            </w:r>
          </w:p>
        </w:tc>
      </w:tr>
      <w:tr w:rsidR="00EA1CC5" w:rsidRPr="00EA1CC5" w14:paraId="153C1C7C" w14:textId="77777777" w:rsidTr="006C1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6F121354" w14:textId="66742BF8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2/20/20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7C72C8" w14:textId="3A5A8B7D" w:rsidR="00EA1CC5" w:rsidRPr="0086265D" w:rsidRDefault="00EA1CC5" w:rsidP="00EA1CC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Co-sponsored LQH with Environmental &amp; Sustainability</w:t>
            </w:r>
            <w:r w:rsidRPr="00EA1CC5">
              <w:rPr>
                <w:rFonts w:cs="Arial"/>
                <w:color w:val="000000"/>
                <w:sz w:val="24"/>
                <w:szCs w:val="24"/>
              </w:rPr>
              <w:br/>
              <w:t>NYC's Climate Mobilization Act: Coming Soon to Jurisdiction Near You?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4C2078" w14:textId="0E2EA2D3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B86962E" w14:textId="05D39C5F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</w:tr>
      <w:tr w:rsidR="00EA1CC5" w:rsidRPr="00EA1CC5" w14:paraId="2C75B396" w14:textId="77777777" w:rsidTr="006C1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3E1D763F" w14:textId="378B0567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2/4/20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E2761" w14:textId="2625BACE" w:rsidR="00EA1CC5" w:rsidRPr="0086265D" w:rsidRDefault="00EA1CC5" w:rsidP="00EA1CC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Trump Administration Update/Outlook: What to Watch for in the Environmental Arena in 2020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497B92" w14:textId="2E2936B2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2E1666E2" w14:textId="0A9D2848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24</w:t>
            </w:r>
          </w:p>
        </w:tc>
      </w:tr>
      <w:tr w:rsidR="00EA1CC5" w:rsidRPr="00EA1CC5" w14:paraId="74B1290A" w14:textId="77777777" w:rsidTr="006C1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3A773FE8" w14:textId="225898A6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12/3/19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DB8CE3" w14:textId="25A60CD1" w:rsidR="00EA1CC5" w:rsidRPr="0086265D" w:rsidRDefault="00EA1CC5" w:rsidP="00EA1CC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Practical Tips for Working with Sustainability Rating Entities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B89FA2" w14:textId="7E240D6C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45D0C20C" w14:textId="1DE274C8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44</w:t>
            </w:r>
          </w:p>
        </w:tc>
      </w:tr>
      <w:tr w:rsidR="00EA1CC5" w:rsidRPr="00EA1CC5" w14:paraId="273616D7" w14:textId="77777777" w:rsidTr="006C1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4B805267" w14:textId="56786627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11/6/19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E6174E" w14:textId="0306E8F5" w:rsidR="00EA1CC5" w:rsidRPr="0086265D" w:rsidRDefault="00EA1CC5" w:rsidP="00EA1CC5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Working Effectively with the U.S. EPA: Practical Tips and Best Practices from former Regional Counsel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18D5AA" w14:textId="4823E25E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05C9BBCB" w14:textId="62693708" w:rsidR="00EA1CC5" w:rsidRDefault="00EA1CC5" w:rsidP="00EA1CC5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22</w:t>
            </w:r>
          </w:p>
        </w:tc>
      </w:tr>
      <w:tr w:rsidR="00EA1CC5" w:rsidRPr="00EA1CC5" w14:paraId="06870A05" w14:textId="77777777" w:rsidTr="006C14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bottom"/>
          </w:tcPr>
          <w:p w14:paraId="61170381" w14:textId="17C6ADA9" w:rsidR="00EA1CC5" w:rsidRPr="00EA1CC5" w:rsidRDefault="00EA1CC5" w:rsidP="00EA1CC5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10/3/19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EE5E0E" w14:textId="00EC946F" w:rsidR="00EA1CC5" w:rsidRPr="0086265D" w:rsidRDefault="00EA1CC5" w:rsidP="00EA1CC5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How to Make EPA and State Audit Programs Work for You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9B1208" w14:textId="722FB924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W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14:paraId="190F99AC" w14:textId="1C75F62B" w:rsidR="00EA1CC5" w:rsidRDefault="00EA1CC5" w:rsidP="00EA1CC5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EA1CC5">
              <w:rPr>
                <w:rFonts w:cs="Arial"/>
                <w:color w:val="000000"/>
                <w:sz w:val="24"/>
                <w:szCs w:val="24"/>
              </w:rPr>
              <w:t>23</w:t>
            </w:r>
          </w:p>
        </w:tc>
      </w:tr>
      <w:tr w:rsidR="0086265D" w:rsidRPr="00C415EC" w14:paraId="3FA7DE10" w14:textId="77777777" w:rsidTr="00116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F8EE167" w14:textId="3015CDC8" w:rsidR="0086265D" w:rsidRPr="0086265D" w:rsidRDefault="0086265D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86265D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09/10/2019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A1924" w14:textId="03D78FD5" w:rsidR="0086265D" w:rsidRPr="00A151E0" w:rsidRDefault="0086265D" w:rsidP="00A151E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86265D">
              <w:rPr>
                <w:rFonts w:cs="Arial"/>
                <w:color w:val="000000"/>
                <w:sz w:val="24"/>
                <w:szCs w:val="24"/>
              </w:rPr>
              <w:t>Avoiding Troubled Waters: What You Should Know About Expanding U.S. Risks Associated with Legionella &amp; Legionnaires’ Disease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3430E" w14:textId="2C2E9CE0" w:rsidR="0086265D" w:rsidRPr="00A151E0" w:rsidRDefault="0086265D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1406D25" w14:textId="13451412" w:rsidR="0086265D" w:rsidRPr="00A151E0" w:rsidRDefault="0086265D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</w:tr>
      <w:tr w:rsidR="00A151E0" w:rsidRPr="00C415EC" w14:paraId="61B658E2" w14:textId="77777777" w:rsidTr="001164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5068DA0" w14:textId="780EEE77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7/9/2019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40E9C" w14:textId="6FDF3421" w:rsidR="00A151E0" w:rsidRPr="00A151E0" w:rsidRDefault="00A151E0" w:rsidP="00A151E0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How to Fight Back Against the New Wave of U.S. Environmental Citizen Suits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6E8F" w14:textId="60DFBB37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46DB2F67" w14:textId="021E161C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A151E0" w:rsidRPr="00C415EC" w14:paraId="43EA44BC" w14:textId="77777777" w:rsidTr="00116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4F99C248" w14:textId="5742DD94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6/4/2019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F221D" w14:textId="3B3B5374" w:rsidR="00A151E0" w:rsidRPr="00A151E0" w:rsidRDefault="00A151E0" w:rsidP="00A151E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US CERCLA 101 - The Past and Future of CERCLA’s Strict Liability Scheme for Historical Contamination and Emerging Contaminants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AA32" w14:textId="6DFD6E11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2A6A1D14" w14:textId="2E7475B7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21</w:t>
            </w:r>
          </w:p>
        </w:tc>
      </w:tr>
      <w:tr w:rsidR="00A151E0" w:rsidRPr="00C415EC" w14:paraId="7B61828C" w14:textId="77777777" w:rsidTr="001164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24B19338" w14:textId="44D4CAEB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5/7/2019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9B38" w14:textId="32796041" w:rsidR="00A151E0" w:rsidRPr="00A151E0" w:rsidRDefault="00A151E0" w:rsidP="00A151E0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Volkswagen “</w:t>
            </w:r>
            <w:proofErr w:type="spellStart"/>
            <w:r w:rsidRPr="00A151E0">
              <w:rPr>
                <w:rFonts w:cs="Arial"/>
                <w:color w:val="000000"/>
                <w:sz w:val="24"/>
                <w:szCs w:val="24"/>
              </w:rPr>
              <w:t>Dieselgate</w:t>
            </w:r>
            <w:proofErr w:type="spellEnd"/>
            <w:r w:rsidRPr="00A151E0">
              <w:rPr>
                <w:rFonts w:cs="Arial"/>
                <w:color w:val="000000"/>
                <w:sz w:val="24"/>
                <w:szCs w:val="24"/>
              </w:rPr>
              <w:t>”: Practical Lessons Learned from the Largest Fraud Ever Perpetrated on U.S. Environmental Regulators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47EF3" w14:textId="756E7101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936EE51" w14:textId="28F239F0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</w:tr>
      <w:tr w:rsidR="00A151E0" w:rsidRPr="00C415EC" w14:paraId="7B878C46" w14:textId="77777777" w:rsidTr="00116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6DA2EFE" w14:textId="6FA5685A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4/2/2019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9A31C" w14:textId="37A13F6E" w:rsidR="00A151E0" w:rsidRPr="00A151E0" w:rsidRDefault="00A151E0" w:rsidP="00A151E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U.S. Clean Air Act Basics: Who Calls the Shots, Pitfalls to Avoid in Permitting, and How to React to Enforcement Actions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34509" w14:textId="400B26D1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1F7C3846" w14:textId="06DD0130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  <w:tr w:rsidR="00A151E0" w:rsidRPr="00C415EC" w14:paraId="755BE698" w14:textId="77777777" w:rsidTr="001164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1A1D5823" w14:textId="67833912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3/5/2019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F02F" w14:textId="30314EF1" w:rsidR="00A151E0" w:rsidRPr="00A151E0" w:rsidRDefault="00A151E0" w:rsidP="00A151E0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Collaborating with Risk Management – Tips for In-House Counsel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D2120" w14:textId="6EAE4080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6B9CB1BF" w14:textId="2DED5D3F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</w:tr>
      <w:tr w:rsidR="00A151E0" w:rsidRPr="00C415EC" w14:paraId="14CF1FEF" w14:textId="77777777" w:rsidTr="00116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1AA38F2" w14:textId="061EFF59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2/5/2019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79320" w14:textId="6E36BB6B" w:rsidR="00A151E0" w:rsidRPr="00A151E0" w:rsidRDefault="00A151E0" w:rsidP="00A151E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Best Practices for Planning and Implementing Health and Safety Audits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0C16" w14:textId="44C0D9A7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5240A38C" w14:textId="356AB728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21</w:t>
            </w:r>
          </w:p>
        </w:tc>
      </w:tr>
      <w:tr w:rsidR="00A151E0" w:rsidRPr="00C415EC" w14:paraId="7025CE75" w14:textId="77777777" w:rsidTr="001164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6908C0C7" w14:textId="5A014B0D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1/8/2019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891E6" w14:textId="7EA92389" w:rsidR="00A151E0" w:rsidRPr="00A151E0" w:rsidRDefault="00A151E0" w:rsidP="00A151E0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What Companies Need to Know and Do About the Proposed Waters of the US Rule and a Shifting Clean Water Act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1E4D9" w14:textId="39C53B9A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0950678" w14:textId="5E8C4E19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37</w:t>
            </w:r>
          </w:p>
        </w:tc>
      </w:tr>
      <w:tr w:rsidR="00A151E0" w:rsidRPr="00C415EC" w14:paraId="2FEA94C4" w14:textId="77777777" w:rsidTr="00116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756E5D6C" w14:textId="479CF60A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12/4/2018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003B" w14:textId="6B97B91E" w:rsidR="00A151E0" w:rsidRPr="00A151E0" w:rsidRDefault="00A151E0" w:rsidP="00A151E0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I Always Feel Like Somebody’s Watching Me: Mitigating Enforcement Risk from U.S. Citizen Monitoring and Crowdsourced Data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A4FC" w14:textId="36A5ABC9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37C23150" w14:textId="0CBC097A" w:rsidR="00A151E0" w:rsidRPr="00A151E0" w:rsidRDefault="00A151E0" w:rsidP="00A151E0">
            <w:pPr>
              <w:pStyle w:val="BodyText"/>
              <w:spacing w:after="12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A151E0" w:rsidRPr="00C415EC" w14:paraId="774A4A7F" w14:textId="77777777" w:rsidTr="001164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single" w:sz="4" w:space="0" w:color="auto"/>
            </w:tcBorders>
            <w:vAlign w:val="center"/>
          </w:tcPr>
          <w:p w14:paraId="555A00B6" w14:textId="24C43D6D" w:rsidR="00A151E0" w:rsidRPr="00A151E0" w:rsidRDefault="00A151E0" w:rsidP="00A151E0">
            <w:pPr>
              <w:pStyle w:val="BodyText"/>
              <w:spacing w:after="120"/>
              <w:ind w:left="0"/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b w:val="0"/>
                <w:bCs w:val="0"/>
                <w:color w:val="000000"/>
                <w:sz w:val="24"/>
                <w:szCs w:val="24"/>
              </w:rPr>
              <w:t>11/8/2018</w:t>
            </w:r>
          </w:p>
        </w:tc>
        <w:tc>
          <w:tcPr>
            <w:tcW w:w="6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3A54" w14:textId="1775499B" w:rsidR="00A151E0" w:rsidRPr="00A151E0" w:rsidRDefault="00A151E0" w:rsidP="00A151E0">
            <w:pPr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pacing w:val="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What to Expect When You’re Expecting a New Chemical:  Supply Chain Impacts of Changes to the U.S. TSCA New Chemicals Program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C9E27" w14:textId="09956BF8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LQH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center"/>
          </w:tcPr>
          <w:p w14:paraId="044C1EE8" w14:textId="445BC676" w:rsidR="00A151E0" w:rsidRPr="00A151E0" w:rsidRDefault="00A151E0" w:rsidP="00A151E0">
            <w:pPr>
              <w:pStyle w:val="BodyText"/>
              <w:spacing w:after="120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  <w:r w:rsidRPr="00A151E0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</w:tr>
    </w:tbl>
    <w:p w14:paraId="069B0514" w14:textId="77777777" w:rsidR="0037372A" w:rsidRPr="0037372A" w:rsidRDefault="0037372A" w:rsidP="0086265D">
      <w:pPr>
        <w:pStyle w:val="BodyText"/>
        <w:ind w:left="0"/>
      </w:pPr>
    </w:p>
    <w:p w14:paraId="2A13F6C0" w14:textId="0607B22E" w:rsidR="00402105" w:rsidRDefault="00F75D4E" w:rsidP="00C33F2F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 w:rsidRPr="001752D5">
        <w:rPr>
          <w:caps/>
          <w:sz w:val="24"/>
          <w:szCs w:val="24"/>
        </w:rPr>
        <w:lastRenderedPageBreak/>
        <w:t>201</w:t>
      </w:r>
      <w:r w:rsidR="00ED2402">
        <w:rPr>
          <w:caps/>
          <w:sz w:val="24"/>
          <w:szCs w:val="24"/>
        </w:rPr>
        <w:t>7</w:t>
      </w:r>
      <w:r w:rsidR="00DE61DF" w:rsidRPr="001752D5">
        <w:rPr>
          <w:caps/>
          <w:sz w:val="24"/>
          <w:szCs w:val="24"/>
        </w:rPr>
        <w:t>-2</w:t>
      </w:r>
      <w:r w:rsidR="00DE61DF">
        <w:rPr>
          <w:caps/>
          <w:sz w:val="24"/>
          <w:szCs w:val="24"/>
        </w:rPr>
        <w:t>01</w:t>
      </w:r>
      <w:r w:rsidR="00ED2402">
        <w:rPr>
          <w:caps/>
          <w:sz w:val="24"/>
          <w:szCs w:val="24"/>
        </w:rPr>
        <w:t>9</w:t>
      </w:r>
      <w:r w:rsidR="00402105" w:rsidRPr="00D216A4">
        <w:rPr>
          <w:caps/>
          <w:sz w:val="24"/>
          <w:szCs w:val="24"/>
        </w:rPr>
        <w:t xml:space="preserve"> </w:t>
      </w:r>
      <w:r w:rsidR="00E95867">
        <w:rPr>
          <w:caps/>
          <w:sz w:val="24"/>
          <w:szCs w:val="24"/>
        </w:rPr>
        <w:t xml:space="preserve">Popular </w:t>
      </w:r>
      <w:r w:rsidR="002F4050">
        <w:rPr>
          <w:caps/>
          <w:sz w:val="24"/>
          <w:szCs w:val="24"/>
        </w:rPr>
        <w:t>Environmental &amp; Sustainability</w:t>
      </w:r>
      <w:r w:rsidR="009A418E">
        <w:rPr>
          <w:caps/>
          <w:sz w:val="24"/>
          <w:szCs w:val="24"/>
        </w:rPr>
        <w:t xml:space="preserve"> </w:t>
      </w:r>
      <w:r w:rsidR="003D7D18">
        <w:rPr>
          <w:caps/>
          <w:sz w:val="24"/>
          <w:szCs w:val="24"/>
        </w:rPr>
        <w:t>NETWORK</w:t>
      </w:r>
      <w:r w:rsidR="000347A0" w:rsidRPr="00D216A4">
        <w:rPr>
          <w:caps/>
          <w:sz w:val="24"/>
          <w:szCs w:val="24"/>
        </w:rPr>
        <w:t xml:space="preserve"> Legal Resource</w:t>
      </w:r>
      <w:r w:rsidR="00E95867">
        <w:rPr>
          <w:caps/>
          <w:sz w:val="24"/>
          <w:szCs w:val="24"/>
        </w:rPr>
        <w:t>s</w:t>
      </w:r>
      <w:r w:rsidR="00C33F2F">
        <w:rPr>
          <w:caps/>
          <w:sz w:val="24"/>
          <w:szCs w:val="24"/>
        </w:rPr>
        <w:t xml:space="preserve"> </w:t>
      </w:r>
    </w:p>
    <w:p w14:paraId="523CDBA6" w14:textId="77777777" w:rsidR="00C33F2F" w:rsidRDefault="00C33F2F" w:rsidP="00C33F2F">
      <w:pPr>
        <w:pStyle w:val="BodyTex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(The resources below include all resources during the period with 100 or more views)</w:t>
      </w:r>
    </w:p>
    <w:p w14:paraId="1DDA13F8" w14:textId="77777777" w:rsidR="00C33F2F" w:rsidRPr="00C33F2F" w:rsidRDefault="00C33F2F" w:rsidP="00C33F2F">
      <w:pPr>
        <w:pStyle w:val="BodyText"/>
      </w:pPr>
    </w:p>
    <w:tbl>
      <w:tblPr>
        <w:tblStyle w:val="MediumShading1"/>
        <w:tblW w:w="10008" w:type="dxa"/>
        <w:tblLayout w:type="fixed"/>
        <w:tblLook w:val="04A0" w:firstRow="1" w:lastRow="0" w:firstColumn="1" w:lastColumn="0" w:noHBand="0" w:noVBand="1"/>
      </w:tblPr>
      <w:tblGrid>
        <w:gridCol w:w="6228"/>
        <w:gridCol w:w="1980"/>
        <w:gridCol w:w="1800"/>
      </w:tblGrid>
      <w:tr w:rsidR="005571C6" w:rsidRPr="00D216A4" w14:paraId="5DA66251" w14:textId="77777777" w:rsidTr="002F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</w:tcPr>
          <w:p w14:paraId="6AB65163" w14:textId="77777777" w:rsidR="005571C6" w:rsidRPr="00D216A4" w:rsidRDefault="005571C6" w:rsidP="004B52E6">
            <w:pPr>
              <w:pStyle w:val="BodyText"/>
              <w:ind w:left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Title</w:t>
            </w:r>
          </w:p>
        </w:tc>
        <w:tc>
          <w:tcPr>
            <w:tcW w:w="1980" w:type="dxa"/>
          </w:tcPr>
          <w:p w14:paraId="6F5D40B1" w14:textId="77777777" w:rsidR="005571C6" w:rsidRPr="00D216A4" w:rsidRDefault="005571C6" w:rsidP="004B52E6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Resource Type</w:t>
            </w:r>
          </w:p>
        </w:tc>
        <w:tc>
          <w:tcPr>
            <w:tcW w:w="1800" w:type="dxa"/>
          </w:tcPr>
          <w:p w14:paraId="6787BE8F" w14:textId="77777777" w:rsidR="005571C6" w:rsidRPr="00D216A4" w:rsidRDefault="005571C6" w:rsidP="004B52E6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216A4">
              <w:rPr>
                <w:sz w:val="24"/>
                <w:szCs w:val="24"/>
              </w:rPr>
              <w:t>Views</w:t>
            </w:r>
          </w:p>
        </w:tc>
      </w:tr>
      <w:tr w:rsidR="00462428" w:rsidRPr="005571C6" w14:paraId="375A0050" w14:textId="77777777" w:rsidTr="00245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B3B3B3"/>
          </w:tcPr>
          <w:p w14:paraId="1AF6A3F4" w14:textId="24B1EBFC" w:rsidR="00462428" w:rsidRPr="005571C6" w:rsidRDefault="00462428" w:rsidP="00245DA4">
            <w:pPr>
              <w:pStyle w:val="BodyText"/>
              <w:spacing w:after="120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</w:t>
            </w:r>
            <w:r w:rsidR="00EC72A7">
              <w:rPr>
                <w:rFonts w:cs="Arial"/>
                <w:color w:val="000000"/>
                <w:sz w:val="24"/>
                <w:szCs w:val="24"/>
              </w:rPr>
              <w:t>19</w:t>
            </w:r>
            <w:r>
              <w:rPr>
                <w:rFonts w:cs="Arial"/>
                <w:color w:val="000000"/>
                <w:sz w:val="24"/>
                <w:szCs w:val="24"/>
              </w:rPr>
              <w:t>-20</w:t>
            </w:r>
            <w:r w:rsidR="00EC72A7"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B3B3B3"/>
          </w:tcPr>
          <w:p w14:paraId="02FC841D" w14:textId="77777777" w:rsidR="00462428" w:rsidRPr="005571C6" w:rsidRDefault="00462428" w:rsidP="00245DA4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B3B3B3"/>
          </w:tcPr>
          <w:p w14:paraId="2C64F00D" w14:textId="77777777" w:rsidR="00462428" w:rsidRPr="005571C6" w:rsidRDefault="00462428" w:rsidP="00245DA4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62428" w:rsidRPr="005571C6" w14:paraId="1F57AEF6" w14:textId="77777777" w:rsidTr="00245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2CAC286" w14:textId="77777777" w:rsidR="00462428" w:rsidRPr="005571C6" w:rsidRDefault="00462428" w:rsidP="00245DA4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N/A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79550C5" w14:textId="77777777" w:rsidR="00462428" w:rsidRPr="005571C6" w:rsidRDefault="00462428" w:rsidP="00245DA4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64850FD" w14:textId="77777777" w:rsidR="00462428" w:rsidRPr="005571C6" w:rsidRDefault="00462428" w:rsidP="00245DA4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7251B0" w:rsidRPr="005571C6" w14:paraId="4EFC7141" w14:textId="77777777" w:rsidTr="00C33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B3B3B3"/>
          </w:tcPr>
          <w:p w14:paraId="17B98619" w14:textId="7554169F" w:rsidR="007251B0" w:rsidRPr="005571C6" w:rsidRDefault="007251B0" w:rsidP="007251B0">
            <w:pPr>
              <w:pStyle w:val="BodyText"/>
              <w:spacing w:after="120"/>
              <w:ind w:left="0"/>
              <w:jc w:val="lef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201</w:t>
            </w:r>
            <w:r w:rsidR="00EC72A7">
              <w:rPr>
                <w:rFonts w:cs="Arial"/>
                <w:color w:val="000000"/>
                <w:sz w:val="24"/>
                <w:szCs w:val="24"/>
              </w:rPr>
              <w:t>8</w:t>
            </w:r>
            <w:r>
              <w:rPr>
                <w:rFonts w:cs="Arial"/>
                <w:color w:val="000000"/>
                <w:sz w:val="24"/>
                <w:szCs w:val="24"/>
              </w:rPr>
              <w:t>-201</w:t>
            </w:r>
            <w:r w:rsidR="00EC72A7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B3B3B3"/>
          </w:tcPr>
          <w:p w14:paraId="435A32FE" w14:textId="77777777" w:rsidR="007251B0" w:rsidRPr="005571C6" w:rsidRDefault="007251B0" w:rsidP="00C33F2F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B3B3B3"/>
          </w:tcPr>
          <w:p w14:paraId="7662FFCE" w14:textId="77777777" w:rsidR="007251B0" w:rsidRPr="005571C6" w:rsidRDefault="007251B0" w:rsidP="00C33F2F">
            <w:pPr>
              <w:pStyle w:val="BodyText"/>
              <w:spacing w:after="12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7251B0" w:rsidRPr="005571C6" w14:paraId="219C5C7D" w14:textId="77777777" w:rsidTr="00C33F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591A859" w14:textId="47111C02" w:rsidR="007251B0" w:rsidRPr="005571C6" w:rsidRDefault="004D338D" w:rsidP="00C33F2F">
            <w:pPr>
              <w:pStyle w:val="BodyText"/>
              <w:spacing w:after="120"/>
              <w:ind w:left="0"/>
              <w:jc w:val="left"/>
              <w:rPr>
                <w:rFonts w:cs="Arial"/>
                <w:b w:val="0"/>
                <w:sz w:val="24"/>
                <w:szCs w:val="24"/>
              </w:rPr>
            </w:pPr>
            <w:r>
              <w:rPr>
                <w:rFonts w:cs="Arial"/>
                <w:b w:val="0"/>
                <w:sz w:val="24"/>
                <w:szCs w:val="24"/>
              </w:rPr>
              <w:t>N/A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FF44115" w14:textId="14726E4B" w:rsidR="007251B0" w:rsidRPr="005571C6" w:rsidRDefault="007251B0" w:rsidP="00C33F2F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871D244" w14:textId="3071AFCF" w:rsidR="007251B0" w:rsidRPr="005571C6" w:rsidRDefault="007251B0" w:rsidP="00C33F2F">
            <w:pPr>
              <w:pStyle w:val="BodyText"/>
              <w:spacing w:after="120"/>
              <w:ind w:left="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4DEFE117" w14:textId="77777777" w:rsidR="0037372A" w:rsidRDefault="0037372A" w:rsidP="005040DE">
      <w:pPr>
        <w:pStyle w:val="BodyText"/>
        <w:ind w:left="0"/>
        <w:rPr>
          <w:sz w:val="24"/>
          <w:szCs w:val="24"/>
          <w:highlight w:val="yellow"/>
        </w:rPr>
      </w:pPr>
    </w:p>
    <w:p w14:paraId="6FB1630C" w14:textId="5238C85D" w:rsidR="003C2049" w:rsidRDefault="003C2049" w:rsidP="003C2049">
      <w:pPr>
        <w:pStyle w:val="Heading1"/>
        <w:spacing w:after="0" w:line="240" w:lineRule="auto"/>
        <w:ind w:left="0"/>
        <w:rPr>
          <w:caps/>
          <w:sz w:val="24"/>
          <w:szCs w:val="24"/>
        </w:rPr>
      </w:pPr>
      <w:r w:rsidRPr="00023734">
        <w:rPr>
          <w:caps/>
          <w:sz w:val="24"/>
          <w:szCs w:val="24"/>
        </w:rPr>
        <w:t xml:space="preserve">Popular </w:t>
      </w:r>
      <w:r w:rsidR="00303F8F">
        <w:rPr>
          <w:caps/>
          <w:sz w:val="24"/>
          <w:szCs w:val="24"/>
        </w:rPr>
        <w:t>ENVIRONMENTAL &amp; SUSTAINABILITY</w:t>
      </w:r>
      <w:r>
        <w:rPr>
          <w:caps/>
          <w:sz w:val="24"/>
          <w:szCs w:val="24"/>
        </w:rPr>
        <w:t xml:space="preserve"> </w:t>
      </w:r>
      <w:r w:rsidR="003D7D18">
        <w:rPr>
          <w:caps/>
          <w:sz w:val="24"/>
          <w:szCs w:val="24"/>
        </w:rPr>
        <w:t>Network</w:t>
      </w:r>
      <w:r w:rsidRPr="00023734">
        <w:rPr>
          <w:caps/>
          <w:sz w:val="24"/>
          <w:szCs w:val="24"/>
        </w:rPr>
        <w:t xml:space="preserve"> eGroup Discussion Topics</w:t>
      </w:r>
    </w:p>
    <w:p w14:paraId="0331A36C" w14:textId="48B81112" w:rsidR="003C2049" w:rsidRDefault="003C2049" w:rsidP="003C2049">
      <w:pPr>
        <w:pStyle w:val="BodyText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(The topics below include all substantive </w:t>
      </w:r>
      <w:proofErr w:type="spellStart"/>
      <w:r>
        <w:rPr>
          <w:sz w:val="24"/>
          <w:szCs w:val="24"/>
        </w:rPr>
        <w:t>eGroup</w:t>
      </w:r>
      <w:proofErr w:type="spellEnd"/>
      <w:r>
        <w:rPr>
          <w:sz w:val="24"/>
          <w:szCs w:val="24"/>
        </w:rPr>
        <w:t xml:space="preserve"> discussions during the period with 3 or more replies)</w:t>
      </w:r>
    </w:p>
    <w:p w14:paraId="2257149E" w14:textId="77777777" w:rsidR="003C2049" w:rsidRPr="00915340" w:rsidRDefault="003C2049" w:rsidP="58F7C961">
      <w:pPr>
        <w:pStyle w:val="BodyText"/>
        <w:jc w:val="center"/>
      </w:pPr>
    </w:p>
    <w:tbl>
      <w:tblPr>
        <w:tblStyle w:val="MediumShading1"/>
        <w:tblW w:w="9996" w:type="dxa"/>
        <w:tblInd w:w="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010"/>
      </w:tblGrid>
      <w:tr w:rsidR="00465F8C" w14:paraId="5240649E" w14:textId="77777777" w:rsidTr="58F7C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bottom w:val="single" w:sz="4" w:space="0" w:color="auto"/>
            </w:tcBorders>
            <w:vAlign w:val="center"/>
          </w:tcPr>
          <w:p w14:paraId="01BEB597" w14:textId="77777777" w:rsidR="00465F8C" w:rsidRDefault="00465F8C" w:rsidP="00465F8C">
            <w:pPr>
              <w:pStyle w:val="BodyTex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8010" w:type="dxa"/>
            <w:tcBorders>
              <w:bottom w:val="single" w:sz="4" w:space="0" w:color="auto"/>
            </w:tcBorders>
            <w:vAlign w:val="center"/>
          </w:tcPr>
          <w:p w14:paraId="0C491137" w14:textId="77777777" w:rsidR="00465F8C" w:rsidRDefault="00465F8C" w:rsidP="00465F8C">
            <w:pPr>
              <w:pStyle w:val="Body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</w:tc>
      </w:tr>
      <w:tr w:rsidR="00465F8C" w:rsidRPr="00800C78" w14:paraId="09065D68" w14:textId="77777777" w:rsidTr="58F7C961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</w:tcPr>
          <w:p w14:paraId="32C3EF08" w14:textId="73F72F56" w:rsidR="00465F8C" w:rsidRDefault="00465F8C" w:rsidP="00465F8C">
            <w:pPr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>
              <w:rPr>
                <w:rFonts w:cs="Arial"/>
                <w:color w:val="2E2E2E"/>
                <w:sz w:val="24"/>
                <w:szCs w:val="24"/>
              </w:rPr>
              <w:t>201</w:t>
            </w:r>
            <w:r w:rsidR="00C03706">
              <w:rPr>
                <w:rFonts w:cs="Arial"/>
                <w:color w:val="2E2E2E"/>
                <w:sz w:val="24"/>
                <w:szCs w:val="24"/>
              </w:rPr>
              <w:t>9</w:t>
            </w:r>
            <w:r>
              <w:rPr>
                <w:rFonts w:cs="Arial"/>
                <w:color w:val="2E2E2E"/>
                <w:sz w:val="24"/>
                <w:szCs w:val="24"/>
              </w:rPr>
              <w:t>-20</w:t>
            </w:r>
            <w:r w:rsidR="00C03706">
              <w:rPr>
                <w:rFonts w:cs="Arial"/>
                <w:color w:val="2E2E2E"/>
                <w:sz w:val="24"/>
                <w:szCs w:val="24"/>
              </w:rPr>
              <w:t>20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8" w:space="0" w:color="404040" w:themeColor="text1" w:themeTint="BF"/>
            </w:tcBorders>
            <w:noWrap/>
            <w:vAlign w:val="center"/>
          </w:tcPr>
          <w:p w14:paraId="21B5E4D8" w14:textId="77777777" w:rsidR="00465F8C" w:rsidRPr="006D316A" w:rsidRDefault="00465F8C" w:rsidP="00465F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62626"/>
                <w:sz w:val="24"/>
                <w:szCs w:val="24"/>
              </w:rPr>
            </w:pPr>
          </w:p>
        </w:tc>
      </w:tr>
      <w:tr w:rsidR="00465F8C" w:rsidRPr="00800C78" w14:paraId="6AD34365" w14:textId="77777777" w:rsidTr="58F7C961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F552" w14:textId="76F6E961" w:rsidR="00465F8C" w:rsidRPr="00C03706" w:rsidRDefault="00C03706" w:rsidP="00465F8C">
            <w:pPr>
              <w:ind w:left="0"/>
              <w:jc w:val="center"/>
              <w:rPr>
                <w:rFonts w:cs="Arial"/>
                <w:color w:val="2E2E2E"/>
                <w:sz w:val="24"/>
                <w:szCs w:val="24"/>
              </w:rPr>
            </w:pPr>
            <w:r w:rsidRPr="00C03706">
              <w:rPr>
                <w:rFonts w:cs="Arial"/>
                <w:color w:val="2E2E2E"/>
                <w:sz w:val="24"/>
                <w:szCs w:val="24"/>
              </w:rPr>
              <w:t>2/14/20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3C57" w14:textId="10A26486" w:rsidR="00C03706" w:rsidRPr="00C03706" w:rsidRDefault="001C72D5" w:rsidP="00C037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hyperlink r:id="rId8" w:history="1">
              <w:r w:rsidR="00C03706" w:rsidRPr="00C03706">
                <w:rPr>
                  <w:rStyle w:val="Hyperlink"/>
                  <w:sz w:val="24"/>
                  <w:szCs w:val="24"/>
                </w:rPr>
                <w:t>Clean Air Act counsel and resource recommendations</w:t>
              </w:r>
            </w:hyperlink>
          </w:p>
          <w:p w14:paraId="22712CE0" w14:textId="49A9D543" w:rsidR="00465F8C" w:rsidRPr="00C03706" w:rsidRDefault="00465F8C" w:rsidP="00465F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465F8C" w:rsidRPr="00800C78" w14:paraId="4A17B8E3" w14:textId="77777777" w:rsidTr="58F7C961">
        <w:tblPrEx>
          <w:tblBorders>
            <w:top w:val="single" w:sz="8" w:space="0" w:color="404040" w:themeColor="text1" w:themeTint="BF"/>
            <w:left w:val="single" w:sz="8" w:space="0" w:color="404040" w:themeColor="text1" w:themeTint="BF"/>
            <w:bottom w:val="single" w:sz="8" w:space="0" w:color="404040" w:themeColor="text1" w:themeTint="BF"/>
            <w:right w:val="single" w:sz="8" w:space="0" w:color="404040" w:themeColor="text1" w:themeTint="BF"/>
            <w:insideH w:val="single" w:sz="8" w:space="0" w:color="404040" w:themeColor="tex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01E" w14:textId="7AAD4D1F" w:rsidR="00465F8C" w:rsidRPr="00C03706" w:rsidRDefault="00C03706" w:rsidP="00465F8C">
            <w:pPr>
              <w:ind w:left="0"/>
              <w:jc w:val="center"/>
              <w:rPr>
                <w:rFonts w:cs="Arial"/>
                <w:b w:val="0"/>
                <w:color w:val="2E2E2E"/>
                <w:sz w:val="24"/>
                <w:szCs w:val="24"/>
              </w:rPr>
            </w:pPr>
            <w:r w:rsidRPr="00C03706">
              <w:rPr>
                <w:rFonts w:cs="Arial"/>
                <w:color w:val="2E2E2E"/>
                <w:sz w:val="24"/>
                <w:szCs w:val="24"/>
              </w:rPr>
              <w:t>3/30/20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7D19" w14:textId="77777777" w:rsidR="008A6CE7" w:rsidRPr="00C03706" w:rsidRDefault="008A6CE7" w:rsidP="008A6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pacing w:val="0"/>
              </w:rPr>
            </w:pPr>
            <w:hyperlink r:id="rId9">
              <w:r w:rsidRPr="58F7C961">
                <w:rPr>
                  <w:rStyle w:val="Hyperlink"/>
                  <w:rFonts w:ascii="Helvetica Neue" w:hAnsi="Helvetica Neue"/>
                  <w:sz w:val="24"/>
                  <w:szCs w:val="24"/>
                </w:rPr>
                <w:t>EPA AOC</w:t>
              </w:r>
            </w:hyperlink>
          </w:p>
          <w:p w14:paraId="5574AE3E" w14:textId="40F7145D" w:rsidR="00465F8C" w:rsidRPr="00C03706" w:rsidRDefault="00465F8C" w:rsidP="008A6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2307D1D" w14:textId="77777777" w:rsidR="001F04E8" w:rsidRDefault="001F04E8" w:rsidP="0019506F">
      <w:pPr>
        <w:ind w:left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bookmarkStart w:id="0" w:name="Dates"/>
    </w:p>
    <w:p w14:paraId="74F9455B" w14:textId="77777777" w:rsidR="001F04E8" w:rsidRDefault="001F04E8" w:rsidP="0019506F">
      <w:pPr>
        <w:ind w:left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14:paraId="751D93AF" w14:textId="093C9A54" w:rsidR="0019506F" w:rsidRDefault="0019506F" w:rsidP="0019506F">
      <w:pPr>
        <w:ind w:left="0"/>
        <w:jc w:val="center"/>
        <w:rPr>
          <w:rFonts w:ascii="Times New Roman" w:hAnsi="Times New Roman"/>
          <w:b/>
          <w:bCs/>
          <w:caps/>
          <w:spacing w:val="0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Important Dates</w:t>
      </w:r>
    </w:p>
    <w:p w14:paraId="0AB784D5" w14:textId="77777777" w:rsidR="0019506F" w:rsidRDefault="0019506F" w:rsidP="0019506F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GoBack"/>
      <w:bookmarkEnd w:id="0"/>
      <w:bookmarkEnd w:id="1"/>
    </w:p>
    <w:tbl>
      <w:tblPr>
        <w:tblStyle w:val="MediumShading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180"/>
        <w:gridCol w:w="3300"/>
      </w:tblGrid>
      <w:tr w:rsidR="0019506F" w14:paraId="67BFCFA2" w14:textId="77777777" w:rsidTr="58F7C9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0" w:type="dxa"/>
            <w:tcBorders>
              <w:bottom w:val="single" w:sz="4" w:space="0" w:color="404040" w:themeColor="text1" w:themeTint="BF"/>
              <w:right w:val="single" w:sz="8" w:space="0" w:color="404040" w:themeColor="text1" w:themeTint="BF"/>
            </w:tcBorders>
            <w:vAlign w:val="center"/>
            <w:hideMark/>
          </w:tcPr>
          <w:p w14:paraId="3D6F945B" w14:textId="77777777" w:rsidR="0019506F" w:rsidRDefault="0019506F">
            <w:pPr>
              <w:ind w:left="-1440" w:right="-720"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bCs w:val="0"/>
                <w:sz w:val="28"/>
              </w:rPr>
              <w:br w:type="page"/>
            </w:r>
            <w:r>
              <w:rPr>
                <w:bCs w:val="0"/>
                <w:sz w:val="28"/>
                <w:szCs w:val="28"/>
              </w:rPr>
              <w:br w:type="page"/>
            </w:r>
            <w:r>
              <w:rPr>
                <w:b w:val="0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Item</w:t>
            </w:r>
          </w:p>
        </w:tc>
        <w:tc>
          <w:tcPr>
            <w:tcW w:w="3480" w:type="dxa"/>
            <w:gridSpan w:val="2"/>
            <w:tcBorders>
              <w:left w:val="single" w:sz="8" w:space="0" w:color="404040" w:themeColor="text1" w:themeTint="BF"/>
              <w:bottom w:val="single" w:sz="4" w:space="0" w:color="404040" w:themeColor="text1" w:themeTint="BF"/>
            </w:tcBorders>
            <w:vAlign w:val="center"/>
            <w:hideMark/>
          </w:tcPr>
          <w:p w14:paraId="7C9B2AA4" w14:textId="77777777" w:rsidR="0019506F" w:rsidRDefault="0019506F">
            <w:pPr>
              <w:ind w:left="-1440" w:right="-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Date</w:t>
            </w:r>
          </w:p>
        </w:tc>
      </w:tr>
      <w:tr w:rsidR="0019506F" w:rsidRPr="001F04E8" w14:paraId="7B5C9750" w14:textId="77777777" w:rsidTr="58F7C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43BCA2ED" w14:textId="77777777" w:rsidR="0019506F" w:rsidRPr="001F04E8" w:rsidRDefault="58F7C961" w:rsidP="58F7C961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58F7C961">
              <w:rPr>
                <w:b w:val="0"/>
                <w:bCs w:val="0"/>
                <w:sz w:val="24"/>
                <w:szCs w:val="24"/>
              </w:rPr>
              <w:t>Program Idea Submission Deadline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3F35" w14:textId="1EB7695F" w:rsidR="0019506F" w:rsidRPr="001F04E8" w:rsidRDefault="58F7C961" w:rsidP="58F7C961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  <w:szCs w:val="24"/>
              </w:rPr>
            </w:pPr>
            <w:r w:rsidRPr="58F7C961">
              <w:rPr>
                <w:rFonts w:eastAsia="Arial" w:cs="Arial"/>
                <w:sz w:val="24"/>
                <w:szCs w:val="24"/>
              </w:rPr>
              <w:t>Wed., Feb. 3, 2021 </w:t>
            </w:r>
          </w:p>
        </w:tc>
      </w:tr>
      <w:tr w:rsidR="0019506F" w:rsidRPr="001F04E8" w14:paraId="5A2DE42B" w14:textId="77777777" w:rsidTr="58F7C9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2A25C7B5" w14:textId="77777777" w:rsidR="0019506F" w:rsidRPr="001F04E8" w:rsidRDefault="58F7C961" w:rsidP="58F7C961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58F7C961">
              <w:rPr>
                <w:b w:val="0"/>
                <w:bCs w:val="0"/>
                <w:sz w:val="24"/>
                <w:szCs w:val="24"/>
              </w:rPr>
              <w:t>Program Selection Notifications Sent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371C" w14:textId="1CD64C64" w:rsidR="0019506F" w:rsidRPr="001F04E8" w:rsidRDefault="58F7C961" w:rsidP="58F7C961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  <w:szCs w:val="24"/>
              </w:rPr>
            </w:pPr>
            <w:r w:rsidRPr="58F7C961">
              <w:rPr>
                <w:rFonts w:eastAsia="Arial" w:cs="Arial"/>
                <w:sz w:val="24"/>
                <w:szCs w:val="24"/>
              </w:rPr>
              <w:t>Wed., March 31, 2021 </w:t>
            </w:r>
          </w:p>
        </w:tc>
      </w:tr>
      <w:tr w:rsidR="0019506F" w:rsidRPr="001F04E8" w14:paraId="7C69085E" w14:textId="77777777" w:rsidTr="58F7C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2D972BE6" w14:textId="77777777" w:rsidR="0019506F" w:rsidRPr="001F04E8" w:rsidRDefault="58F7C961" w:rsidP="58F7C961">
            <w:pPr>
              <w:ind w:left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58F7C961">
              <w:rPr>
                <w:b w:val="0"/>
                <w:bCs w:val="0"/>
                <w:sz w:val="24"/>
                <w:szCs w:val="24"/>
              </w:rPr>
              <w:t>Program Organizer Submission Deadline</w:t>
            </w:r>
            <w:r w:rsidRPr="58F7C961">
              <w:rPr>
                <w:b w:val="0"/>
                <w:bCs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E13" w14:textId="6A87238E" w:rsidR="0019506F" w:rsidRPr="001F04E8" w:rsidRDefault="58F7C961" w:rsidP="58F7C961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  <w:szCs w:val="24"/>
              </w:rPr>
            </w:pPr>
            <w:r w:rsidRPr="58F7C961">
              <w:rPr>
                <w:rFonts w:eastAsia="Arial" w:cs="Arial"/>
                <w:sz w:val="24"/>
                <w:szCs w:val="24"/>
              </w:rPr>
              <w:t>Wed., April 14, 2021 </w:t>
            </w:r>
          </w:p>
        </w:tc>
      </w:tr>
      <w:tr w:rsidR="0019506F" w:rsidRPr="001F04E8" w14:paraId="3025CED0" w14:textId="77777777" w:rsidTr="58F7C9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75746830" w14:textId="77777777" w:rsidR="0019506F" w:rsidRPr="001F04E8" w:rsidRDefault="58F7C961" w:rsidP="58F7C961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58F7C961">
              <w:rPr>
                <w:b w:val="0"/>
                <w:bCs w:val="0"/>
                <w:sz w:val="24"/>
                <w:szCs w:val="24"/>
              </w:rPr>
              <w:t>Speaker Submission Deadline</w:t>
            </w:r>
            <w:r w:rsidRPr="58F7C961">
              <w:rPr>
                <w:b w:val="0"/>
                <w:bCs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DBB" w14:textId="261AB23B" w:rsidR="0019506F" w:rsidRPr="001F04E8" w:rsidRDefault="58F7C961" w:rsidP="58F7C961">
            <w:pPr>
              <w:ind w:left="1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 w:val="24"/>
                <w:szCs w:val="24"/>
              </w:rPr>
            </w:pPr>
            <w:r w:rsidRPr="58F7C961">
              <w:rPr>
                <w:rFonts w:eastAsia="Arial" w:cs="Arial"/>
                <w:sz w:val="24"/>
                <w:szCs w:val="24"/>
              </w:rPr>
              <w:t>Fri., June 4, 2021 </w:t>
            </w:r>
          </w:p>
        </w:tc>
      </w:tr>
      <w:tr w:rsidR="0019506F" w:rsidRPr="001F04E8" w14:paraId="0D8855EC" w14:textId="77777777" w:rsidTr="58F7C9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 w:themeColor="text1" w:themeTint="BF"/>
            </w:tcBorders>
            <w:vAlign w:val="center"/>
            <w:hideMark/>
          </w:tcPr>
          <w:p w14:paraId="357BDE06" w14:textId="77777777" w:rsidR="0019506F" w:rsidRPr="001F04E8" w:rsidRDefault="58F7C961" w:rsidP="58F7C961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58F7C961">
              <w:rPr>
                <w:b w:val="0"/>
                <w:bCs w:val="0"/>
                <w:sz w:val="24"/>
                <w:szCs w:val="24"/>
              </w:rPr>
              <w:t>Course Material Submission Deadline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8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6B90" w14:textId="7A9A7530" w:rsidR="0019506F" w:rsidRPr="001F04E8" w:rsidRDefault="58F7C961" w:rsidP="58F7C961">
            <w:pPr>
              <w:ind w:left="1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 w:val="24"/>
                <w:szCs w:val="24"/>
                <w:highlight w:val="yellow"/>
              </w:rPr>
            </w:pPr>
            <w:r w:rsidRPr="58F7C961">
              <w:rPr>
                <w:rFonts w:eastAsia="Arial" w:cs="Arial"/>
                <w:sz w:val="24"/>
                <w:szCs w:val="24"/>
              </w:rPr>
              <w:t>Tues., Aug. 31, 2021</w:t>
            </w:r>
          </w:p>
        </w:tc>
      </w:tr>
    </w:tbl>
    <w:p w14:paraId="3F0080A0" w14:textId="25FED971" w:rsidR="008B5504" w:rsidRPr="0086265D" w:rsidRDefault="008B5504" w:rsidP="0086265D">
      <w:pPr>
        <w:ind w:left="0"/>
        <w:jc w:val="center"/>
        <w:rPr>
          <w:rFonts w:ascii="Gill Sans" w:hAnsi="Gill Sans" w:cs="Gill Sans"/>
          <w:i/>
        </w:rPr>
      </w:pPr>
      <w:r w:rsidRPr="00D8771F">
        <w:rPr>
          <w:rFonts w:ascii="Gill Sans" w:hAnsi="Gill Sans" w:cs="Gill Sans"/>
          <w:i/>
          <w:vertAlign w:val="superscript"/>
        </w:rPr>
        <w:t>‡</w:t>
      </w:r>
      <w:r w:rsidRPr="00D8771F">
        <w:rPr>
          <w:rFonts w:ascii="Gill Sans" w:hAnsi="Gill Sans" w:cs="Gill Sans"/>
          <w:i/>
        </w:rPr>
        <w:t xml:space="preserve">ACC confirms program organizer and </w:t>
      </w:r>
      <w:r>
        <w:rPr>
          <w:rFonts w:ascii="Gill Sans" w:hAnsi="Gill Sans" w:cs="Gill Sans"/>
          <w:i/>
        </w:rPr>
        <w:t>speaker</w:t>
      </w:r>
      <w:r w:rsidRPr="00D8771F">
        <w:rPr>
          <w:rFonts w:ascii="Gill Sans" w:hAnsi="Gill Sans" w:cs="Gill Sans"/>
          <w:i/>
        </w:rPr>
        <w:t xml:space="preserve"> submissions on rolling basis</w:t>
      </w:r>
    </w:p>
    <w:sectPr w:rsidR="008B5504" w:rsidRPr="0086265D" w:rsidSect="00B652FA">
      <w:footerReference w:type="even" r:id="rId10"/>
      <w:footerReference w:type="default" r:id="rId11"/>
      <w:footerReference w:type="first" r:id="rId12"/>
      <w:pgSz w:w="12240" w:h="15840" w:code="1"/>
      <w:pgMar w:top="1008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3501A" w14:textId="77777777" w:rsidR="001C72D5" w:rsidRDefault="001C72D5">
      <w:r>
        <w:separator/>
      </w:r>
    </w:p>
  </w:endnote>
  <w:endnote w:type="continuationSeparator" w:id="0">
    <w:p w14:paraId="48AC4F51" w14:textId="77777777" w:rsidR="001C72D5" w:rsidRDefault="001C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DD66" w14:textId="77777777" w:rsidR="003C2049" w:rsidRDefault="003C20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9788AA" w14:textId="77777777" w:rsidR="003C2049" w:rsidRDefault="003C2049">
    <w:pPr>
      <w:pStyle w:val="Footer"/>
    </w:pPr>
  </w:p>
  <w:p w14:paraId="0162D035" w14:textId="77777777" w:rsidR="003C2049" w:rsidRDefault="003C20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8CF0" w14:textId="77777777" w:rsidR="003C2049" w:rsidRDefault="003C2049">
    <w:pPr>
      <w:pStyle w:val="Footer"/>
    </w:pPr>
    <w:r>
      <w:rPr>
        <w:rFonts w:ascii="Wingdings" w:eastAsia="Wingdings" w:hAnsi="Wingdings" w:cs="Wingdings"/>
      </w:rPr>
      <w:t></w:t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21EB">
      <w:rPr>
        <w:rStyle w:val="PageNumber"/>
        <w:noProof/>
      </w:rPr>
      <w:t>5</w:t>
    </w:r>
    <w:r>
      <w:rPr>
        <w:rStyle w:val="PageNumber"/>
      </w:rPr>
      <w:fldChar w:fldCharType="end"/>
    </w:r>
  </w:p>
  <w:p w14:paraId="55BFA0D0" w14:textId="77777777" w:rsidR="003C2049" w:rsidRDefault="003C20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2631" w14:textId="77777777" w:rsidR="003C2049" w:rsidRDefault="003C2049" w:rsidP="00402105">
    <w:pPr>
      <w:tabs>
        <w:tab w:val="left" w:pos="1340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D3F85" w14:textId="77777777" w:rsidR="001C72D5" w:rsidRDefault="001C72D5">
      <w:r>
        <w:separator/>
      </w:r>
    </w:p>
  </w:footnote>
  <w:footnote w:type="continuationSeparator" w:id="0">
    <w:p w14:paraId="4970C5B5" w14:textId="77777777" w:rsidR="001C72D5" w:rsidRDefault="001C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A8DA5152"/>
    <w:lvl w:ilvl="0" w:tplc="909AFDC2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A12A790E">
      <w:numFmt w:val="decimal"/>
      <w:lvlText w:val=""/>
      <w:lvlJc w:val="left"/>
    </w:lvl>
    <w:lvl w:ilvl="2" w:tplc="8DFA41B4">
      <w:numFmt w:val="decimal"/>
      <w:lvlText w:val=""/>
      <w:lvlJc w:val="left"/>
    </w:lvl>
    <w:lvl w:ilvl="3" w:tplc="24842FF4">
      <w:numFmt w:val="decimal"/>
      <w:lvlText w:val=""/>
      <w:lvlJc w:val="left"/>
    </w:lvl>
    <w:lvl w:ilvl="4" w:tplc="0218C7CC">
      <w:numFmt w:val="decimal"/>
      <w:lvlText w:val=""/>
      <w:lvlJc w:val="left"/>
    </w:lvl>
    <w:lvl w:ilvl="5" w:tplc="8A86B42A">
      <w:numFmt w:val="decimal"/>
      <w:lvlText w:val=""/>
      <w:lvlJc w:val="left"/>
    </w:lvl>
    <w:lvl w:ilvl="6" w:tplc="5A746B94">
      <w:numFmt w:val="decimal"/>
      <w:lvlText w:val=""/>
      <w:lvlJc w:val="left"/>
    </w:lvl>
    <w:lvl w:ilvl="7" w:tplc="745A3ABA">
      <w:numFmt w:val="decimal"/>
      <w:lvlText w:val=""/>
      <w:lvlJc w:val="left"/>
    </w:lvl>
    <w:lvl w:ilvl="8" w:tplc="5A58494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0E25E94"/>
    <w:lvl w:ilvl="0" w:tplc="F094FE44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34620B8C">
      <w:numFmt w:val="decimal"/>
      <w:lvlText w:val=""/>
      <w:lvlJc w:val="left"/>
    </w:lvl>
    <w:lvl w:ilvl="2" w:tplc="665E8FFA">
      <w:numFmt w:val="decimal"/>
      <w:lvlText w:val=""/>
      <w:lvlJc w:val="left"/>
    </w:lvl>
    <w:lvl w:ilvl="3" w:tplc="FBCEC0AC">
      <w:numFmt w:val="decimal"/>
      <w:lvlText w:val=""/>
      <w:lvlJc w:val="left"/>
    </w:lvl>
    <w:lvl w:ilvl="4" w:tplc="42E8359C">
      <w:numFmt w:val="decimal"/>
      <w:lvlText w:val=""/>
      <w:lvlJc w:val="left"/>
    </w:lvl>
    <w:lvl w:ilvl="5" w:tplc="2CC62A0A">
      <w:numFmt w:val="decimal"/>
      <w:lvlText w:val=""/>
      <w:lvlJc w:val="left"/>
    </w:lvl>
    <w:lvl w:ilvl="6" w:tplc="36F23370">
      <w:numFmt w:val="decimal"/>
      <w:lvlText w:val=""/>
      <w:lvlJc w:val="left"/>
    </w:lvl>
    <w:lvl w:ilvl="7" w:tplc="A9AEE300">
      <w:numFmt w:val="decimal"/>
      <w:lvlText w:val=""/>
      <w:lvlJc w:val="left"/>
    </w:lvl>
    <w:lvl w:ilvl="8" w:tplc="1CBA83F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7CAB"/>
    <w:multiLevelType w:val="hybridMultilevel"/>
    <w:tmpl w:val="6786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14641"/>
    <w:multiLevelType w:val="hybridMultilevel"/>
    <w:tmpl w:val="057E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20A2B"/>
    <w:multiLevelType w:val="hybridMultilevel"/>
    <w:tmpl w:val="ABEC2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0E322D"/>
    <w:multiLevelType w:val="hybridMultilevel"/>
    <w:tmpl w:val="6EA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35063"/>
    <w:multiLevelType w:val="hybridMultilevel"/>
    <w:tmpl w:val="6890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E08B2"/>
    <w:multiLevelType w:val="hybridMultilevel"/>
    <w:tmpl w:val="64BC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078FA"/>
    <w:multiLevelType w:val="hybridMultilevel"/>
    <w:tmpl w:val="3454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4417E"/>
    <w:multiLevelType w:val="hybridMultilevel"/>
    <w:tmpl w:val="0F06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D2931"/>
    <w:multiLevelType w:val="hybridMultilevel"/>
    <w:tmpl w:val="D830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53750"/>
    <w:multiLevelType w:val="hybridMultilevel"/>
    <w:tmpl w:val="8898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55704"/>
    <w:multiLevelType w:val="hybridMultilevel"/>
    <w:tmpl w:val="754C7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F49AC"/>
    <w:multiLevelType w:val="hybridMultilevel"/>
    <w:tmpl w:val="41DE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04F39"/>
    <w:multiLevelType w:val="hybridMultilevel"/>
    <w:tmpl w:val="23C0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91CC5"/>
    <w:multiLevelType w:val="hybridMultilevel"/>
    <w:tmpl w:val="6286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25" w15:restartNumberingAfterBreak="0">
    <w:nsid w:val="5E361502"/>
    <w:multiLevelType w:val="hybridMultilevel"/>
    <w:tmpl w:val="4FFC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10E4"/>
    <w:multiLevelType w:val="hybridMultilevel"/>
    <w:tmpl w:val="D1A2B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36001"/>
    <w:multiLevelType w:val="hybridMultilevel"/>
    <w:tmpl w:val="3C04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B5936"/>
    <w:multiLevelType w:val="hybridMultilevel"/>
    <w:tmpl w:val="8D9C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0" w15:restartNumberingAfterBreak="0">
    <w:nsid w:val="78D423F9"/>
    <w:multiLevelType w:val="hybridMultilevel"/>
    <w:tmpl w:val="DB6E8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30FE3"/>
    <w:multiLevelType w:val="hybridMultilevel"/>
    <w:tmpl w:val="4684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23"/>
  </w:num>
  <w:num w:numId="15">
    <w:abstractNumId w:val="19"/>
  </w:num>
  <w:num w:numId="16">
    <w:abstractNumId w:val="22"/>
  </w:num>
  <w:num w:numId="17">
    <w:abstractNumId w:val="14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28"/>
  </w:num>
  <w:num w:numId="23">
    <w:abstractNumId w:val="18"/>
  </w:num>
  <w:num w:numId="24">
    <w:abstractNumId w:val="15"/>
  </w:num>
  <w:num w:numId="25">
    <w:abstractNumId w:val="12"/>
  </w:num>
  <w:num w:numId="26">
    <w:abstractNumId w:val="20"/>
  </w:num>
  <w:num w:numId="27">
    <w:abstractNumId w:val="27"/>
  </w:num>
  <w:num w:numId="28">
    <w:abstractNumId w:val="10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8" w:dllVersion="513" w:checkStyle="1"/>
  <w:proofState w:spelling="clean" w:grammar="clean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B"/>
    <w:rsid w:val="00000EBA"/>
    <w:rsid w:val="000347A0"/>
    <w:rsid w:val="0008558D"/>
    <w:rsid w:val="00090208"/>
    <w:rsid w:val="00095E53"/>
    <w:rsid w:val="000B40F4"/>
    <w:rsid w:val="000C5961"/>
    <w:rsid w:val="000E277D"/>
    <w:rsid w:val="000F2635"/>
    <w:rsid w:val="001164EA"/>
    <w:rsid w:val="001227E0"/>
    <w:rsid w:val="00137A68"/>
    <w:rsid w:val="00141D2A"/>
    <w:rsid w:val="00144C08"/>
    <w:rsid w:val="00144DE8"/>
    <w:rsid w:val="001712FF"/>
    <w:rsid w:val="00171DF0"/>
    <w:rsid w:val="00174678"/>
    <w:rsid w:val="001752D5"/>
    <w:rsid w:val="00176AA5"/>
    <w:rsid w:val="00182FED"/>
    <w:rsid w:val="0019506F"/>
    <w:rsid w:val="001A00E8"/>
    <w:rsid w:val="001A3B62"/>
    <w:rsid w:val="001C44E8"/>
    <w:rsid w:val="001C72D5"/>
    <w:rsid w:val="001C7AC2"/>
    <w:rsid w:val="001F04E8"/>
    <w:rsid w:val="00200963"/>
    <w:rsid w:val="00221AF2"/>
    <w:rsid w:val="00240310"/>
    <w:rsid w:val="00290AD1"/>
    <w:rsid w:val="002F4050"/>
    <w:rsid w:val="002F4293"/>
    <w:rsid w:val="00303F8F"/>
    <w:rsid w:val="003245FD"/>
    <w:rsid w:val="00327D48"/>
    <w:rsid w:val="00337D51"/>
    <w:rsid w:val="00354EF5"/>
    <w:rsid w:val="00365C11"/>
    <w:rsid w:val="0037372A"/>
    <w:rsid w:val="00374AEC"/>
    <w:rsid w:val="00397B95"/>
    <w:rsid w:val="003C2049"/>
    <w:rsid w:val="003C3CA4"/>
    <w:rsid w:val="003C416C"/>
    <w:rsid w:val="003D5EC1"/>
    <w:rsid w:val="003D7D18"/>
    <w:rsid w:val="003E71F7"/>
    <w:rsid w:val="003F3AB0"/>
    <w:rsid w:val="00402105"/>
    <w:rsid w:val="00423254"/>
    <w:rsid w:val="00431287"/>
    <w:rsid w:val="004426CF"/>
    <w:rsid w:val="00462428"/>
    <w:rsid w:val="00465F8C"/>
    <w:rsid w:val="004821EB"/>
    <w:rsid w:val="00483914"/>
    <w:rsid w:val="004847BB"/>
    <w:rsid w:val="00487812"/>
    <w:rsid w:val="004A032E"/>
    <w:rsid w:val="004B52E6"/>
    <w:rsid w:val="004C30FB"/>
    <w:rsid w:val="004C389F"/>
    <w:rsid w:val="004D0F92"/>
    <w:rsid w:val="004D338D"/>
    <w:rsid w:val="004D4BB7"/>
    <w:rsid w:val="005040DE"/>
    <w:rsid w:val="005204F2"/>
    <w:rsid w:val="0055373B"/>
    <w:rsid w:val="005571C6"/>
    <w:rsid w:val="005F0762"/>
    <w:rsid w:val="005F256B"/>
    <w:rsid w:val="00600ED0"/>
    <w:rsid w:val="00601906"/>
    <w:rsid w:val="00686244"/>
    <w:rsid w:val="006B0464"/>
    <w:rsid w:val="006B187A"/>
    <w:rsid w:val="006B1AB9"/>
    <w:rsid w:val="006B598C"/>
    <w:rsid w:val="00704B16"/>
    <w:rsid w:val="007251B0"/>
    <w:rsid w:val="007301AB"/>
    <w:rsid w:val="00743FEA"/>
    <w:rsid w:val="00756090"/>
    <w:rsid w:val="00765A34"/>
    <w:rsid w:val="007A5EBE"/>
    <w:rsid w:val="007B46F5"/>
    <w:rsid w:val="007C71EE"/>
    <w:rsid w:val="007D2492"/>
    <w:rsid w:val="00800C2D"/>
    <w:rsid w:val="00801CFC"/>
    <w:rsid w:val="00812E6B"/>
    <w:rsid w:val="008523EC"/>
    <w:rsid w:val="00854974"/>
    <w:rsid w:val="0086265D"/>
    <w:rsid w:val="00871871"/>
    <w:rsid w:val="00897080"/>
    <w:rsid w:val="008A6CE7"/>
    <w:rsid w:val="008B5504"/>
    <w:rsid w:val="008C1DB8"/>
    <w:rsid w:val="008D6991"/>
    <w:rsid w:val="008E6A2D"/>
    <w:rsid w:val="009447F1"/>
    <w:rsid w:val="00965204"/>
    <w:rsid w:val="00973EC1"/>
    <w:rsid w:val="009A418E"/>
    <w:rsid w:val="009C3D24"/>
    <w:rsid w:val="00A05D15"/>
    <w:rsid w:val="00A11AED"/>
    <w:rsid w:val="00A151E0"/>
    <w:rsid w:val="00A45FF6"/>
    <w:rsid w:val="00A63A81"/>
    <w:rsid w:val="00A6492C"/>
    <w:rsid w:val="00AA0F06"/>
    <w:rsid w:val="00AA1AD1"/>
    <w:rsid w:val="00AB00FE"/>
    <w:rsid w:val="00AC290C"/>
    <w:rsid w:val="00B113F5"/>
    <w:rsid w:val="00B15569"/>
    <w:rsid w:val="00B22459"/>
    <w:rsid w:val="00B26CD1"/>
    <w:rsid w:val="00B40315"/>
    <w:rsid w:val="00B42E39"/>
    <w:rsid w:val="00B652FA"/>
    <w:rsid w:val="00BC0D75"/>
    <w:rsid w:val="00C03706"/>
    <w:rsid w:val="00C130AA"/>
    <w:rsid w:val="00C2542B"/>
    <w:rsid w:val="00C32A8E"/>
    <w:rsid w:val="00C33F2F"/>
    <w:rsid w:val="00C35F66"/>
    <w:rsid w:val="00C415EC"/>
    <w:rsid w:val="00C813D7"/>
    <w:rsid w:val="00C85153"/>
    <w:rsid w:val="00CA46C4"/>
    <w:rsid w:val="00CF457B"/>
    <w:rsid w:val="00CF5571"/>
    <w:rsid w:val="00D10501"/>
    <w:rsid w:val="00D216A4"/>
    <w:rsid w:val="00D438CB"/>
    <w:rsid w:val="00D61188"/>
    <w:rsid w:val="00D7205D"/>
    <w:rsid w:val="00D9700A"/>
    <w:rsid w:val="00DB1FE2"/>
    <w:rsid w:val="00DB28C1"/>
    <w:rsid w:val="00DE61DF"/>
    <w:rsid w:val="00E34524"/>
    <w:rsid w:val="00E7466E"/>
    <w:rsid w:val="00E76486"/>
    <w:rsid w:val="00E95867"/>
    <w:rsid w:val="00EA1927"/>
    <w:rsid w:val="00EA1CC5"/>
    <w:rsid w:val="00EB1412"/>
    <w:rsid w:val="00EB4A08"/>
    <w:rsid w:val="00EB7F7E"/>
    <w:rsid w:val="00EC3002"/>
    <w:rsid w:val="00EC72A7"/>
    <w:rsid w:val="00EC784B"/>
    <w:rsid w:val="00ED2402"/>
    <w:rsid w:val="00EE0659"/>
    <w:rsid w:val="00EE6F64"/>
    <w:rsid w:val="00F30F27"/>
    <w:rsid w:val="00F342D8"/>
    <w:rsid w:val="00F514D8"/>
    <w:rsid w:val="00F67BD6"/>
    <w:rsid w:val="00F718E5"/>
    <w:rsid w:val="00F75D4E"/>
    <w:rsid w:val="00FA0F8A"/>
    <w:rsid w:val="00FC3EF3"/>
    <w:rsid w:val="00FD2E8B"/>
    <w:rsid w:val="00FD380D"/>
    <w:rsid w:val="00FF197F"/>
    <w:rsid w:val="00FF47E7"/>
    <w:rsid w:val="0CB8A50E"/>
    <w:rsid w:val="58F7C9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4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52FA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B652FA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652FA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B652FA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B652FA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B652FA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52FA"/>
    <w:pPr>
      <w:spacing w:after="220" w:line="180" w:lineRule="atLeast"/>
      <w:jc w:val="both"/>
    </w:pPr>
  </w:style>
  <w:style w:type="paragraph" w:styleId="Closing">
    <w:name w:val="Closing"/>
    <w:basedOn w:val="Normal"/>
    <w:rsid w:val="00B652FA"/>
    <w:pPr>
      <w:keepNext/>
      <w:spacing w:line="220" w:lineRule="atLeast"/>
    </w:pPr>
  </w:style>
  <w:style w:type="paragraph" w:customStyle="1" w:styleId="CompanyName">
    <w:name w:val="Company Name"/>
    <w:basedOn w:val="Normal"/>
    <w:rsid w:val="00B652FA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B652FA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B652FA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B652FA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B652FA"/>
    <w:pPr>
      <w:spacing w:before="600"/>
    </w:pPr>
    <w:rPr>
      <w:sz w:val="18"/>
    </w:rPr>
  </w:style>
  <w:style w:type="paragraph" w:styleId="Header">
    <w:name w:val="header"/>
    <w:basedOn w:val="HeaderBase"/>
    <w:rsid w:val="00B652FA"/>
    <w:pPr>
      <w:spacing w:after="600"/>
    </w:pPr>
  </w:style>
  <w:style w:type="paragraph" w:customStyle="1" w:styleId="HeadingBase">
    <w:name w:val="Heading Base"/>
    <w:basedOn w:val="BodyText"/>
    <w:next w:val="BodyText"/>
    <w:rsid w:val="00B652FA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B652FA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B652FA"/>
    <w:pPr>
      <w:spacing w:before="220"/>
    </w:pPr>
  </w:style>
  <w:style w:type="character" w:customStyle="1" w:styleId="MessageHeaderLabel">
    <w:name w:val="Message Header Label"/>
    <w:rsid w:val="00B652FA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B652FA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B652FA"/>
    <w:pPr>
      <w:ind w:left="1555"/>
    </w:pPr>
  </w:style>
  <w:style w:type="character" w:styleId="PageNumber">
    <w:name w:val="page number"/>
    <w:rsid w:val="00B652FA"/>
    <w:rPr>
      <w:sz w:val="18"/>
    </w:rPr>
  </w:style>
  <w:style w:type="paragraph" w:customStyle="1" w:styleId="ReturnAddress">
    <w:name w:val="Return Address"/>
    <w:basedOn w:val="Normal"/>
    <w:rsid w:val="00B652FA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B652FA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B652FA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B652FA"/>
    <w:pPr>
      <w:spacing w:before="720"/>
      <w:jc w:val="left"/>
    </w:pPr>
  </w:style>
  <w:style w:type="paragraph" w:styleId="List">
    <w:name w:val="List"/>
    <w:basedOn w:val="Normal"/>
    <w:rsid w:val="00B652FA"/>
    <w:pPr>
      <w:ind w:left="1195" w:hanging="360"/>
    </w:pPr>
  </w:style>
  <w:style w:type="paragraph" w:styleId="List2">
    <w:name w:val="List 2"/>
    <w:basedOn w:val="Normal"/>
    <w:rsid w:val="00B652FA"/>
    <w:pPr>
      <w:ind w:left="1555" w:hanging="360"/>
    </w:pPr>
  </w:style>
  <w:style w:type="paragraph" w:styleId="List3">
    <w:name w:val="List 3"/>
    <w:basedOn w:val="Normal"/>
    <w:rsid w:val="00B652FA"/>
    <w:pPr>
      <w:ind w:left="1915" w:hanging="360"/>
    </w:pPr>
  </w:style>
  <w:style w:type="paragraph" w:styleId="List4">
    <w:name w:val="List 4"/>
    <w:basedOn w:val="Normal"/>
    <w:rsid w:val="00B652FA"/>
    <w:pPr>
      <w:ind w:left="2275" w:hanging="360"/>
    </w:pPr>
  </w:style>
  <w:style w:type="paragraph" w:styleId="List5">
    <w:name w:val="List 5"/>
    <w:basedOn w:val="Normal"/>
    <w:rsid w:val="00B652FA"/>
    <w:pPr>
      <w:ind w:left="2635" w:hanging="360"/>
    </w:pPr>
  </w:style>
  <w:style w:type="paragraph" w:styleId="ListBullet">
    <w:name w:val="List Bullet"/>
    <w:basedOn w:val="Normal"/>
    <w:autoRedefine/>
    <w:rsid w:val="00B652FA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B652FA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B652FA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B652FA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B652FA"/>
    <w:pPr>
      <w:numPr>
        <w:numId w:val="7"/>
      </w:numPr>
      <w:ind w:left="2635"/>
    </w:pPr>
  </w:style>
  <w:style w:type="paragraph" w:styleId="ListContinue">
    <w:name w:val="List Continue"/>
    <w:basedOn w:val="Normal"/>
    <w:rsid w:val="00B652FA"/>
    <w:pPr>
      <w:spacing w:after="120"/>
      <w:ind w:left="1195"/>
    </w:pPr>
  </w:style>
  <w:style w:type="paragraph" w:styleId="ListContinue2">
    <w:name w:val="List Continue 2"/>
    <w:basedOn w:val="Normal"/>
    <w:rsid w:val="00B652FA"/>
    <w:pPr>
      <w:spacing w:after="120"/>
      <w:ind w:left="1555"/>
    </w:pPr>
  </w:style>
  <w:style w:type="paragraph" w:styleId="ListContinue3">
    <w:name w:val="List Continue 3"/>
    <w:basedOn w:val="Normal"/>
    <w:rsid w:val="00B652FA"/>
    <w:pPr>
      <w:spacing w:after="120"/>
      <w:ind w:left="1915"/>
    </w:pPr>
  </w:style>
  <w:style w:type="paragraph" w:styleId="ListContinue4">
    <w:name w:val="List Continue 4"/>
    <w:basedOn w:val="Normal"/>
    <w:rsid w:val="00B652FA"/>
    <w:pPr>
      <w:spacing w:after="120"/>
      <w:ind w:left="2275"/>
    </w:pPr>
  </w:style>
  <w:style w:type="paragraph" w:styleId="ListContinue5">
    <w:name w:val="List Continue 5"/>
    <w:basedOn w:val="Normal"/>
    <w:rsid w:val="00B652FA"/>
    <w:pPr>
      <w:spacing w:after="120"/>
      <w:ind w:left="2635"/>
    </w:pPr>
  </w:style>
  <w:style w:type="paragraph" w:styleId="ListNumber">
    <w:name w:val="List Number"/>
    <w:basedOn w:val="Normal"/>
    <w:rsid w:val="00B652FA"/>
    <w:pPr>
      <w:numPr>
        <w:numId w:val="8"/>
      </w:numPr>
      <w:ind w:left="1195"/>
    </w:pPr>
  </w:style>
  <w:style w:type="paragraph" w:styleId="ListNumber2">
    <w:name w:val="List Number 2"/>
    <w:basedOn w:val="Normal"/>
    <w:rsid w:val="00B652FA"/>
    <w:pPr>
      <w:numPr>
        <w:numId w:val="9"/>
      </w:numPr>
      <w:ind w:left="1555"/>
    </w:pPr>
  </w:style>
  <w:style w:type="paragraph" w:styleId="ListNumber3">
    <w:name w:val="List Number 3"/>
    <w:basedOn w:val="Normal"/>
    <w:rsid w:val="00B652FA"/>
    <w:pPr>
      <w:numPr>
        <w:numId w:val="10"/>
      </w:numPr>
      <w:ind w:left="1915"/>
    </w:pPr>
  </w:style>
  <w:style w:type="paragraph" w:styleId="ListNumber4">
    <w:name w:val="List Number 4"/>
    <w:basedOn w:val="Normal"/>
    <w:rsid w:val="00B652FA"/>
    <w:pPr>
      <w:numPr>
        <w:numId w:val="11"/>
      </w:numPr>
      <w:ind w:left="2275"/>
    </w:pPr>
  </w:style>
  <w:style w:type="paragraph" w:styleId="ListNumber5">
    <w:name w:val="List Number 5"/>
    <w:basedOn w:val="Normal"/>
    <w:rsid w:val="00B652FA"/>
    <w:pPr>
      <w:numPr>
        <w:numId w:val="12"/>
      </w:numPr>
      <w:ind w:left="2635"/>
    </w:pPr>
  </w:style>
  <w:style w:type="table" w:styleId="MediumShading1">
    <w:name w:val="Medium Shading 1"/>
    <w:basedOn w:val="TableNormal"/>
    <w:uiPriority w:val="63"/>
    <w:rsid w:val="008D69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D69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91"/>
    <w:rPr>
      <w:rFonts w:ascii="Lucida Grande" w:hAnsi="Lucida Grande" w:cs="Lucida Grande"/>
      <w:spacing w:val="-5"/>
      <w:sz w:val="18"/>
      <w:szCs w:val="18"/>
    </w:rPr>
  </w:style>
  <w:style w:type="table" w:styleId="TableGrid">
    <w:name w:val="Table Grid"/>
    <w:basedOn w:val="TableNormal"/>
    <w:uiPriority w:val="59"/>
    <w:rsid w:val="004A0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03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3A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0F9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897080"/>
    <w:rPr>
      <w:rFonts w:ascii="Arial" w:hAnsi="Arial"/>
      <w:spacing w:val="-5"/>
    </w:rPr>
  </w:style>
  <w:style w:type="paragraph" w:customStyle="1" w:styleId="p1">
    <w:name w:val="p1"/>
    <w:basedOn w:val="Normal"/>
    <w:rsid w:val="003D7D18"/>
    <w:pPr>
      <w:ind w:left="0"/>
    </w:pPr>
    <w:rPr>
      <w:rFonts w:cs="Arial"/>
      <w:spacing w:val="0"/>
      <w:sz w:val="15"/>
      <w:szCs w:val="15"/>
    </w:rPr>
  </w:style>
  <w:style w:type="character" w:customStyle="1" w:styleId="s1">
    <w:name w:val="s1"/>
    <w:basedOn w:val="DefaultParagraphFont"/>
    <w:rsid w:val="003D7D18"/>
  </w:style>
  <w:style w:type="character" w:customStyle="1" w:styleId="Heading2Char">
    <w:name w:val="Heading 2 Char"/>
    <w:basedOn w:val="DefaultParagraphFont"/>
    <w:link w:val="Heading2"/>
    <w:uiPriority w:val="9"/>
    <w:rsid w:val="00C03706"/>
    <w:rPr>
      <w:rFonts w:ascii="Arial Black" w:hAnsi="Arial Black"/>
      <w:spacing w:val="-10"/>
      <w:kern w:val="28"/>
    </w:rPr>
  </w:style>
  <w:style w:type="character" w:styleId="UnresolvedMention">
    <w:name w:val="Unresolved Mention"/>
    <w:basedOn w:val="DefaultParagraphFont"/>
    <w:uiPriority w:val="99"/>
    <w:rsid w:val="00C0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acc.com/communities/community-home/digestviewer/viewthread?GroupId=73&amp;MessageKey=307ad892-245c-4068-bf57-fb58aad9b75a&amp;CommunityKey=47a461a4-93f3-42db-a856-a8a0ba5b81ad&amp;tab=digestviewer&amp;ReturnUrl=%2fcommunities%2fcommunity-home%2fdigestviewer%3fcommunitykey%3d47a461a4-93f3-42db-a856-a8a0ba5b81ad%26tab%3ddigestview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mmunity.acc.com/communities/community-home/digestviewer/viewthread?GroupId=73&amp;MessageKey=667ed4af-2f34-4003-a990-06427c1a22ce&amp;CommunityKey=47a461a4-93f3-42db-a856-a8a0ba5b81ad&amp;tab=digestviewer&amp;ReturnUrl=%2fcommunities%2fcommunity-home%2fdigestviewer%3fcommunitykey%3d47a461a4-93f3-42db-a856-a8a0ba5b81ad%26tab%3ddigestvie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1262</Words>
  <Characters>7197</Characters>
  <Application>Microsoft Office Word</Application>
  <DocSecurity>0</DocSecurity>
  <Lines>59</Lines>
  <Paragraphs>16</Paragraphs>
  <ScaleCrop>false</ScaleCrop>
  <Manager/>
  <Company>Microsoft Corporation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Okolski</dc:creator>
  <cp:keywords/>
  <dc:description/>
  <cp:lastModifiedBy>Nicholas Moses</cp:lastModifiedBy>
  <cp:revision>26</cp:revision>
  <cp:lastPrinted>2014-09-22T14:57:00Z</cp:lastPrinted>
  <dcterms:created xsi:type="dcterms:W3CDTF">2019-09-10T18:42:00Z</dcterms:created>
  <dcterms:modified xsi:type="dcterms:W3CDTF">2020-12-10T15:14:00Z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</Properties>
</file>