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361" w:rsidRPr="0073564C" w:rsidRDefault="00A63361" w:rsidP="00A63361">
      <w:pPr>
        <w:jc w:val="center"/>
        <w:rPr>
          <w:rFonts w:asciiTheme="minorHAnsi" w:hAnsiTheme="minorHAnsi" w:cstheme="minorHAnsi"/>
          <w:sz w:val="22"/>
          <w:szCs w:val="22"/>
          <w:u w:val="single"/>
        </w:rPr>
      </w:pPr>
      <w:r w:rsidRPr="0073564C">
        <w:rPr>
          <w:rFonts w:asciiTheme="minorHAnsi" w:hAnsiTheme="minorHAnsi" w:cstheme="minorHAnsi"/>
          <w:b/>
          <w:sz w:val="22"/>
          <w:szCs w:val="22"/>
          <w:u w:val="single"/>
        </w:rPr>
        <w:t>TOP TEN MISTAKES TO AVOID IN CONTRACT DRAFTING</w:t>
      </w:r>
    </w:p>
    <w:p w:rsidR="000424C4" w:rsidRPr="0073564C" w:rsidRDefault="000424C4" w:rsidP="00A63361">
      <w:pPr>
        <w:jc w:val="center"/>
        <w:rPr>
          <w:rFonts w:asciiTheme="minorHAnsi" w:hAnsiTheme="minorHAnsi" w:cstheme="minorHAnsi"/>
          <w:sz w:val="22"/>
          <w:szCs w:val="22"/>
          <w:u w:val="single"/>
        </w:rPr>
      </w:pPr>
    </w:p>
    <w:p w:rsidR="000424C4" w:rsidRPr="0073564C" w:rsidRDefault="000424C4" w:rsidP="0073564C">
      <w:pPr>
        <w:jc w:val="both"/>
        <w:rPr>
          <w:rFonts w:asciiTheme="minorHAnsi" w:hAnsiTheme="minorHAnsi" w:cstheme="minorHAnsi"/>
          <w:sz w:val="22"/>
          <w:szCs w:val="22"/>
        </w:rPr>
      </w:pPr>
      <w:r w:rsidRPr="0073564C">
        <w:rPr>
          <w:rFonts w:asciiTheme="minorHAnsi" w:hAnsiTheme="minorHAnsi" w:cstheme="minorHAnsi"/>
          <w:sz w:val="22"/>
          <w:szCs w:val="22"/>
        </w:rPr>
        <w:tab/>
      </w:r>
      <w:r w:rsidR="0007099F" w:rsidRPr="0073564C">
        <w:rPr>
          <w:rFonts w:asciiTheme="minorHAnsi" w:hAnsiTheme="minorHAnsi" w:cstheme="minorHAnsi"/>
          <w:sz w:val="22"/>
          <w:szCs w:val="22"/>
        </w:rPr>
        <w:t>C</w:t>
      </w:r>
      <w:r w:rsidRPr="0073564C">
        <w:rPr>
          <w:rFonts w:asciiTheme="minorHAnsi" w:hAnsiTheme="minorHAnsi" w:cstheme="minorHAnsi"/>
          <w:sz w:val="22"/>
          <w:szCs w:val="22"/>
        </w:rPr>
        <w:t>orporate attorneys are often asked to quickly review or draft various types of contracts at a moment’s notice. Below is a high-level discussion</w:t>
      </w:r>
      <w:r w:rsidR="00DE4DEF" w:rsidRPr="0073564C">
        <w:rPr>
          <w:rFonts w:asciiTheme="minorHAnsi" w:hAnsiTheme="minorHAnsi" w:cstheme="minorHAnsi"/>
          <w:sz w:val="22"/>
          <w:szCs w:val="22"/>
        </w:rPr>
        <w:t xml:space="preserve"> as a resource to</w:t>
      </w:r>
      <w:r w:rsidRPr="0073564C">
        <w:rPr>
          <w:rFonts w:asciiTheme="minorHAnsi" w:hAnsiTheme="minorHAnsi" w:cstheme="minorHAnsi"/>
          <w:sz w:val="22"/>
          <w:szCs w:val="22"/>
        </w:rPr>
        <w:t xml:space="preserve"> avoid ten of the most common mistakes made in drafting and reviewing contracts.</w:t>
      </w:r>
    </w:p>
    <w:p w:rsidR="00A63361" w:rsidRPr="0073564C" w:rsidRDefault="00A63361" w:rsidP="00652491">
      <w:pPr>
        <w:jc w:val="both"/>
        <w:rPr>
          <w:rFonts w:asciiTheme="minorHAnsi" w:hAnsiTheme="minorHAnsi" w:cstheme="minorHAnsi"/>
          <w:sz w:val="22"/>
          <w:szCs w:val="22"/>
          <w:u w:val="single"/>
        </w:rPr>
      </w:pPr>
    </w:p>
    <w:p w:rsidR="004729A3" w:rsidRPr="0073564C" w:rsidRDefault="004729A3"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Failing to Consider Who the Proper Parties Should Be</w:t>
      </w:r>
      <w:r w:rsidR="00652491" w:rsidRPr="0073564C">
        <w:rPr>
          <w:rFonts w:asciiTheme="minorHAnsi" w:hAnsiTheme="minorHAnsi" w:cstheme="minorHAnsi"/>
          <w:sz w:val="22"/>
          <w:szCs w:val="22"/>
        </w:rPr>
        <w:t>.</w:t>
      </w:r>
      <w:r w:rsidR="00C67140" w:rsidRPr="0073564C">
        <w:rPr>
          <w:rFonts w:asciiTheme="minorHAnsi" w:hAnsiTheme="minorHAnsi" w:cstheme="minorHAnsi"/>
          <w:sz w:val="22"/>
          <w:szCs w:val="22"/>
        </w:rPr>
        <w:t xml:space="preserve"> </w:t>
      </w:r>
      <w:r w:rsidRPr="0073564C">
        <w:rPr>
          <w:rFonts w:asciiTheme="minorHAnsi" w:hAnsiTheme="minorHAnsi" w:cstheme="minorHAnsi"/>
          <w:sz w:val="22"/>
          <w:szCs w:val="22"/>
        </w:rPr>
        <w:t xml:space="preserve">Although naming the correct parties to a </w:t>
      </w:r>
      <w:r w:rsidR="001E1351" w:rsidRPr="0073564C">
        <w:rPr>
          <w:rFonts w:asciiTheme="minorHAnsi" w:hAnsiTheme="minorHAnsi" w:cstheme="minorHAnsi"/>
          <w:sz w:val="22"/>
          <w:szCs w:val="22"/>
        </w:rPr>
        <w:t xml:space="preserve">commercial contract sounds simple enough, </w:t>
      </w:r>
      <w:r w:rsidR="00483D2C" w:rsidRPr="0073564C">
        <w:rPr>
          <w:rFonts w:asciiTheme="minorHAnsi" w:hAnsiTheme="minorHAnsi" w:cstheme="minorHAnsi"/>
          <w:sz w:val="22"/>
          <w:szCs w:val="22"/>
        </w:rPr>
        <w:t xml:space="preserve">it is incredibly common for </w:t>
      </w:r>
      <w:r w:rsidR="00926804" w:rsidRPr="0073564C">
        <w:rPr>
          <w:rFonts w:asciiTheme="minorHAnsi" w:hAnsiTheme="minorHAnsi" w:cstheme="minorHAnsi"/>
          <w:sz w:val="22"/>
          <w:szCs w:val="22"/>
        </w:rPr>
        <w:t xml:space="preserve">contracts </w:t>
      </w:r>
      <w:r w:rsidR="00483D2C" w:rsidRPr="0073564C">
        <w:rPr>
          <w:rFonts w:asciiTheme="minorHAnsi" w:hAnsiTheme="minorHAnsi" w:cstheme="minorHAnsi"/>
          <w:sz w:val="22"/>
          <w:szCs w:val="22"/>
        </w:rPr>
        <w:t xml:space="preserve">to </w:t>
      </w:r>
      <w:r w:rsidR="00E6299B" w:rsidRPr="0073564C">
        <w:rPr>
          <w:rFonts w:asciiTheme="minorHAnsi" w:hAnsiTheme="minorHAnsi" w:cstheme="minorHAnsi"/>
          <w:sz w:val="22"/>
          <w:szCs w:val="22"/>
        </w:rPr>
        <w:t>name an</w:t>
      </w:r>
      <w:r w:rsidR="001E1351" w:rsidRPr="0073564C">
        <w:rPr>
          <w:rFonts w:asciiTheme="minorHAnsi" w:hAnsiTheme="minorHAnsi" w:cstheme="minorHAnsi"/>
          <w:sz w:val="22"/>
          <w:szCs w:val="22"/>
        </w:rPr>
        <w:t xml:space="preserve"> </w:t>
      </w:r>
      <w:r w:rsidR="00E6299B" w:rsidRPr="0073564C">
        <w:rPr>
          <w:rFonts w:asciiTheme="minorHAnsi" w:hAnsiTheme="minorHAnsi" w:cstheme="minorHAnsi"/>
          <w:sz w:val="22"/>
          <w:szCs w:val="22"/>
        </w:rPr>
        <w:t>in</w:t>
      </w:r>
      <w:r w:rsidR="001E1351" w:rsidRPr="0073564C">
        <w:rPr>
          <w:rFonts w:asciiTheme="minorHAnsi" w:hAnsiTheme="minorHAnsi" w:cstheme="minorHAnsi"/>
          <w:sz w:val="22"/>
          <w:szCs w:val="22"/>
        </w:rPr>
        <w:t>correct legal entity.</w:t>
      </w:r>
      <w:r w:rsidR="00EB39EE" w:rsidRPr="0073564C">
        <w:rPr>
          <w:rFonts w:asciiTheme="minorHAnsi" w:hAnsiTheme="minorHAnsi" w:cstheme="minorHAnsi"/>
          <w:sz w:val="22"/>
          <w:szCs w:val="22"/>
        </w:rPr>
        <w:t xml:space="preserve">  </w:t>
      </w:r>
      <w:r w:rsidR="00E6299B" w:rsidRPr="0073564C">
        <w:rPr>
          <w:rFonts w:asciiTheme="minorHAnsi" w:hAnsiTheme="minorHAnsi" w:cstheme="minorHAnsi"/>
          <w:sz w:val="22"/>
          <w:szCs w:val="22"/>
        </w:rPr>
        <w:t xml:space="preserve">Under the law of misnomer, </w:t>
      </w:r>
      <w:r w:rsidR="00EB39EE" w:rsidRPr="0073564C">
        <w:rPr>
          <w:rFonts w:asciiTheme="minorHAnsi" w:hAnsiTheme="minorHAnsi" w:cstheme="minorHAnsi"/>
          <w:sz w:val="22"/>
          <w:szCs w:val="22"/>
        </w:rPr>
        <w:t>Texas courts may reform the contract to correct the name where (1) no one was misled by the mistake</w:t>
      </w:r>
      <w:r w:rsidR="00A17827" w:rsidRPr="0073564C">
        <w:rPr>
          <w:rFonts w:asciiTheme="minorHAnsi" w:hAnsiTheme="minorHAnsi" w:cstheme="minorHAnsi"/>
          <w:sz w:val="22"/>
          <w:szCs w:val="22"/>
        </w:rPr>
        <w:t>,</w:t>
      </w:r>
      <w:r w:rsidR="00EB39EE" w:rsidRPr="0073564C">
        <w:rPr>
          <w:rFonts w:asciiTheme="minorHAnsi" w:hAnsiTheme="minorHAnsi" w:cstheme="minorHAnsi"/>
          <w:sz w:val="22"/>
          <w:szCs w:val="22"/>
        </w:rPr>
        <w:t xml:space="preserve"> and (2) the identity of the proper party is </w:t>
      </w:r>
      <w:proofErr w:type="gramStart"/>
      <w:r w:rsidR="00EB39EE" w:rsidRPr="0073564C">
        <w:rPr>
          <w:rFonts w:asciiTheme="minorHAnsi" w:hAnsiTheme="minorHAnsi" w:cstheme="minorHAnsi"/>
          <w:sz w:val="22"/>
          <w:szCs w:val="22"/>
        </w:rPr>
        <w:t>substantially apparent</w:t>
      </w:r>
      <w:proofErr w:type="gramEnd"/>
      <w:r w:rsidR="00EB39EE" w:rsidRPr="0073564C">
        <w:rPr>
          <w:rFonts w:asciiTheme="minorHAnsi" w:hAnsiTheme="minorHAnsi" w:cstheme="minorHAnsi"/>
          <w:sz w:val="22"/>
          <w:szCs w:val="22"/>
        </w:rPr>
        <w:t xml:space="preserve"> from the agreement.  Even if a court may reform the agreement, </w:t>
      </w:r>
      <w:r w:rsidR="00A02EDA" w:rsidRPr="0073564C">
        <w:rPr>
          <w:rFonts w:asciiTheme="minorHAnsi" w:hAnsiTheme="minorHAnsi" w:cstheme="minorHAnsi"/>
          <w:sz w:val="22"/>
          <w:szCs w:val="22"/>
        </w:rPr>
        <w:t xml:space="preserve">conducting </w:t>
      </w:r>
      <w:r w:rsidR="00EB39EE" w:rsidRPr="0073564C">
        <w:rPr>
          <w:rFonts w:asciiTheme="minorHAnsi" w:hAnsiTheme="minorHAnsi" w:cstheme="minorHAnsi"/>
          <w:sz w:val="22"/>
          <w:szCs w:val="22"/>
        </w:rPr>
        <w:t xml:space="preserve">simple due diligence could avoid </w:t>
      </w:r>
      <w:r w:rsidR="00B746EC" w:rsidRPr="0073564C">
        <w:rPr>
          <w:rFonts w:asciiTheme="minorHAnsi" w:hAnsiTheme="minorHAnsi" w:cstheme="minorHAnsi"/>
          <w:sz w:val="22"/>
          <w:szCs w:val="22"/>
        </w:rPr>
        <w:t xml:space="preserve">legal fees </w:t>
      </w:r>
      <w:r w:rsidR="000F35C9" w:rsidRPr="0073564C">
        <w:rPr>
          <w:rFonts w:asciiTheme="minorHAnsi" w:hAnsiTheme="minorHAnsi" w:cstheme="minorHAnsi"/>
          <w:sz w:val="22"/>
          <w:szCs w:val="22"/>
        </w:rPr>
        <w:t>in the future. An inquiry with the Secretary of State can easily confirm the correct legal name and state of formation of an entity. F</w:t>
      </w:r>
      <w:r w:rsidR="00B746EC" w:rsidRPr="0073564C">
        <w:rPr>
          <w:rFonts w:asciiTheme="minorHAnsi" w:hAnsiTheme="minorHAnsi" w:cstheme="minorHAnsi"/>
          <w:sz w:val="22"/>
          <w:szCs w:val="22"/>
        </w:rPr>
        <w:t>urthermore</w:t>
      </w:r>
      <w:r w:rsidR="000F35C9" w:rsidRPr="0073564C">
        <w:rPr>
          <w:rFonts w:asciiTheme="minorHAnsi" w:hAnsiTheme="minorHAnsi" w:cstheme="minorHAnsi"/>
          <w:sz w:val="22"/>
          <w:szCs w:val="22"/>
        </w:rPr>
        <w:t>,</w:t>
      </w:r>
      <w:r w:rsidR="00B746EC" w:rsidRPr="0073564C">
        <w:rPr>
          <w:rFonts w:asciiTheme="minorHAnsi" w:hAnsiTheme="minorHAnsi" w:cstheme="minorHAnsi"/>
          <w:sz w:val="22"/>
          <w:szCs w:val="22"/>
        </w:rPr>
        <w:t xml:space="preserve"> the </w:t>
      </w:r>
      <w:r w:rsidR="00D204C1" w:rsidRPr="0073564C">
        <w:rPr>
          <w:rFonts w:asciiTheme="minorHAnsi" w:hAnsiTheme="minorHAnsi" w:cstheme="minorHAnsi"/>
          <w:sz w:val="22"/>
          <w:szCs w:val="22"/>
        </w:rPr>
        <w:t>legal</w:t>
      </w:r>
      <w:r w:rsidR="000F35C9" w:rsidRPr="0073564C">
        <w:rPr>
          <w:rFonts w:asciiTheme="minorHAnsi" w:hAnsiTheme="minorHAnsi" w:cstheme="minorHAnsi"/>
          <w:sz w:val="22"/>
          <w:szCs w:val="22"/>
        </w:rPr>
        <w:t xml:space="preserve"> </w:t>
      </w:r>
      <w:r w:rsidR="00B746EC" w:rsidRPr="0073564C">
        <w:rPr>
          <w:rFonts w:asciiTheme="minorHAnsi" w:hAnsiTheme="minorHAnsi" w:cstheme="minorHAnsi"/>
          <w:sz w:val="22"/>
          <w:szCs w:val="22"/>
        </w:rPr>
        <w:t xml:space="preserve">requirements </w:t>
      </w:r>
      <w:r w:rsidR="000F35C9" w:rsidRPr="0073564C">
        <w:rPr>
          <w:rFonts w:asciiTheme="minorHAnsi" w:hAnsiTheme="minorHAnsi" w:cstheme="minorHAnsi"/>
          <w:sz w:val="22"/>
          <w:szCs w:val="22"/>
        </w:rPr>
        <w:t>to reform a c</w:t>
      </w:r>
      <w:r w:rsidR="00B746EC" w:rsidRPr="0073564C">
        <w:rPr>
          <w:rFonts w:asciiTheme="minorHAnsi" w:hAnsiTheme="minorHAnsi" w:cstheme="minorHAnsi"/>
          <w:sz w:val="22"/>
          <w:szCs w:val="22"/>
        </w:rPr>
        <w:t xml:space="preserve">ontract may be more difficult to satisfy when there is confusion with similarly named entities, which is common </w:t>
      </w:r>
      <w:r w:rsidR="002120DC" w:rsidRPr="0073564C">
        <w:rPr>
          <w:rFonts w:asciiTheme="minorHAnsi" w:hAnsiTheme="minorHAnsi" w:cstheme="minorHAnsi"/>
          <w:sz w:val="22"/>
          <w:szCs w:val="22"/>
        </w:rPr>
        <w:t>for</w:t>
      </w:r>
      <w:r w:rsidR="00B746EC" w:rsidRPr="0073564C">
        <w:rPr>
          <w:rFonts w:asciiTheme="minorHAnsi" w:hAnsiTheme="minorHAnsi" w:cstheme="minorHAnsi"/>
          <w:sz w:val="22"/>
          <w:szCs w:val="22"/>
        </w:rPr>
        <w:t xml:space="preserve"> affiliated entities.</w:t>
      </w:r>
    </w:p>
    <w:p w:rsidR="00652491" w:rsidRPr="0073564C" w:rsidRDefault="00652491" w:rsidP="00483D2C">
      <w:pPr>
        <w:ind w:firstLine="720"/>
        <w:jc w:val="both"/>
        <w:rPr>
          <w:rFonts w:asciiTheme="minorHAnsi" w:hAnsiTheme="minorHAnsi" w:cstheme="minorHAnsi"/>
          <w:sz w:val="22"/>
          <w:szCs w:val="22"/>
        </w:rPr>
      </w:pPr>
    </w:p>
    <w:p w:rsidR="00652491" w:rsidRPr="0073564C" w:rsidRDefault="00652491" w:rsidP="007D7CE2">
      <w:pPr>
        <w:pStyle w:val="ListParagraph"/>
        <w:numPr>
          <w:ilvl w:val="0"/>
          <w:numId w:val="39"/>
        </w:numPr>
        <w:tabs>
          <w:tab w:val="left" w:pos="360"/>
        </w:tabs>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Misinterpreting Assignment and Change in Control Provisions</w:t>
      </w:r>
      <w:r w:rsidRPr="0073564C">
        <w:rPr>
          <w:rFonts w:asciiTheme="minorHAnsi" w:hAnsiTheme="minorHAnsi" w:cstheme="minorHAnsi"/>
          <w:sz w:val="22"/>
          <w:szCs w:val="22"/>
        </w:rPr>
        <w:t xml:space="preserve">. Provisions restricting assignment generally or in circumstances where there is a change in control of the parties to a contract are commonplace in commercial contracts.  These provisions, however, are often overlooked until triggered by certain types of transactions.  Anti-assignment provisions, depending on </w:t>
      </w:r>
      <w:r w:rsidR="00900FCC" w:rsidRPr="0073564C">
        <w:rPr>
          <w:rFonts w:asciiTheme="minorHAnsi" w:hAnsiTheme="minorHAnsi" w:cstheme="minorHAnsi"/>
          <w:sz w:val="22"/>
          <w:szCs w:val="22"/>
        </w:rPr>
        <w:t>their wording</w:t>
      </w:r>
      <w:r w:rsidRPr="0073564C">
        <w:rPr>
          <w:rFonts w:asciiTheme="minorHAnsi" w:hAnsiTheme="minorHAnsi" w:cstheme="minorHAnsi"/>
          <w:sz w:val="22"/>
          <w:szCs w:val="22"/>
        </w:rPr>
        <w:t xml:space="preserve">, may have different implications depending on the type of transaction (e.g., </w:t>
      </w:r>
      <w:r w:rsidR="00900FCC" w:rsidRPr="0073564C">
        <w:rPr>
          <w:rFonts w:asciiTheme="minorHAnsi" w:hAnsiTheme="minorHAnsi" w:cstheme="minorHAnsi"/>
          <w:sz w:val="22"/>
          <w:szCs w:val="22"/>
        </w:rPr>
        <w:t>purchase or sale of</w:t>
      </w:r>
      <w:r w:rsidRPr="0073564C">
        <w:rPr>
          <w:rFonts w:asciiTheme="minorHAnsi" w:hAnsiTheme="minorHAnsi" w:cstheme="minorHAnsi"/>
          <w:sz w:val="22"/>
          <w:szCs w:val="22"/>
        </w:rPr>
        <w:t xml:space="preserve"> assets, </w:t>
      </w:r>
      <w:r w:rsidR="002645A1">
        <w:rPr>
          <w:rFonts w:asciiTheme="minorHAnsi" w:hAnsiTheme="minorHAnsi" w:cstheme="minorHAnsi"/>
          <w:sz w:val="22"/>
          <w:szCs w:val="22"/>
        </w:rPr>
        <w:t xml:space="preserve">purchase or </w:t>
      </w:r>
      <w:r w:rsidR="00900FCC" w:rsidRPr="0073564C">
        <w:rPr>
          <w:rFonts w:asciiTheme="minorHAnsi" w:hAnsiTheme="minorHAnsi" w:cstheme="minorHAnsi"/>
          <w:sz w:val="22"/>
          <w:szCs w:val="22"/>
        </w:rPr>
        <w:t xml:space="preserve">sale of </w:t>
      </w:r>
      <w:r w:rsidRPr="0073564C">
        <w:rPr>
          <w:rFonts w:asciiTheme="minorHAnsi" w:hAnsiTheme="minorHAnsi" w:cstheme="minorHAnsi"/>
          <w:sz w:val="22"/>
          <w:szCs w:val="22"/>
        </w:rPr>
        <w:t>equity o</w:t>
      </w:r>
      <w:r w:rsidR="00900FCC" w:rsidRPr="0073564C">
        <w:rPr>
          <w:rFonts w:asciiTheme="minorHAnsi" w:hAnsiTheme="minorHAnsi" w:cstheme="minorHAnsi"/>
          <w:sz w:val="22"/>
          <w:szCs w:val="22"/>
        </w:rPr>
        <w:t>r merger</w:t>
      </w:r>
      <w:r w:rsidRPr="0073564C">
        <w:rPr>
          <w:rFonts w:asciiTheme="minorHAnsi" w:hAnsiTheme="minorHAnsi" w:cstheme="minorHAnsi"/>
          <w:sz w:val="22"/>
          <w:szCs w:val="22"/>
        </w:rPr>
        <w:t xml:space="preserve">).  </w:t>
      </w:r>
      <w:r w:rsidR="00BC7243" w:rsidRPr="0073564C">
        <w:rPr>
          <w:rFonts w:asciiTheme="minorHAnsi" w:hAnsiTheme="minorHAnsi" w:cstheme="minorHAnsi"/>
          <w:sz w:val="22"/>
          <w:szCs w:val="22"/>
        </w:rPr>
        <w:t xml:space="preserve"> </w:t>
      </w:r>
    </w:p>
    <w:p w:rsidR="00652491" w:rsidRPr="0073564C" w:rsidRDefault="00652491" w:rsidP="00652491">
      <w:pPr>
        <w:jc w:val="both"/>
        <w:rPr>
          <w:rFonts w:asciiTheme="minorHAnsi" w:hAnsiTheme="minorHAnsi" w:cstheme="minorHAnsi"/>
          <w:sz w:val="22"/>
          <w:szCs w:val="22"/>
        </w:rPr>
      </w:pPr>
      <w:r w:rsidRPr="0073564C">
        <w:rPr>
          <w:rFonts w:asciiTheme="minorHAnsi" w:hAnsiTheme="minorHAnsi" w:cstheme="minorHAnsi"/>
          <w:sz w:val="22"/>
          <w:szCs w:val="22"/>
        </w:rPr>
        <w:tab/>
      </w:r>
    </w:p>
    <w:p w:rsidR="00652491" w:rsidRPr="0073564C" w:rsidRDefault="00652491" w:rsidP="00BC7243">
      <w:pPr>
        <w:ind w:firstLine="450"/>
        <w:jc w:val="both"/>
        <w:rPr>
          <w:rFonts w:asciiTheme="minorHAnsi" w:hAnsiTheme="minorHAnsi" w:cstheme="minorHAnsi"/>
          <w:sz w:val="22"/>
          <w:szCs w:val="22"/>
        </w:rPr>
      </w:pPr>
      <w:r w:rsidRPr="0073564C">
        <w:rPr>
          <w:rFonts w:asciiTheme="minorHAnsi" w:hAnsiTheme="minorHAnsi" w:cstheme="minorHAnsi"/>
          <w:sz w:val="22"/>
          <w:szCs w:val="22"/>
        </w:rPr>
        <w:t xml:space="preserve">When drafting anti-assignment provisions, practitioners (and parties to the contract alike) should consider the possibility that a transaction, such as an exit transaction or </w:t>
      </w:r>
      <w:r w:rsidR="00BC7243" w:rsidRPr="0073564C">
        <w:rPr>
          <w:rFonts w:asciiTheme="minorHAnsi" w:hAnsiTheme="minorHAnsi" w:cstheme="minorHAnsi"/>
          <w:sz w:val="22"/>
          <w:szCs w:val="22"/>
        </w:rPr>
        <w:t xml:space="preserve">entry into </w:t>
      </w:r>
      <w:r w:rsidRPr="0073564C">
        <w:rPr>
          <w:rFonts w:asciiTheme="minorHAnsi" w:hAnsiTheme="minorHAnsi" w:cstheme="minorHAnsi"/>
          <w:sz w:val="22"/>
          <w:szCs w:val="22"/>
        </w:rPr>
        <w:t xml:space="preserve">a credit agreement, involving the parties to the contract may occur in the future, and prepare the provision with this consideration in mind.  For example, an anti-assignment provision that </w:t>
      </w:r>
      <w:proofErr w:type="gramStart"/>
      <w:r w:rsidRPr="0073564C">
        <w:rPr>
          <w:rFonts w:asciiTheme="minorHAnsi" w:hAnsiTheme="minorHAnsi" w:cstheme="minorHAnsi"/>
          <w:sz w:val="22"/>
          <w:szCs w:val="22"/>
        </w:rPr>
        <w:t>takes into account</w:t>
      </w:r>
      <w:proofErr w:type="gramEnd"/>
      <w:r w:rsidRPr="0073564C">
        <w:rPr>
          <w:rFonts w:asciiTheme="minorHAnsi" w:hAnsiTheme="minorHAnsi" w:cstheme="minorHAnsi"/>
          <w:sz w:val="22"/>
          <w:szCs w:val="22"/>
        </w:rPr>
        <w:t xml:space="preserve"> that a party to the commercial contract may merge at some point during its tenure might include language that specifically prohibits a successor entity from assuming the obligations of the contract as a “result of merger” or “change in control.”  Further, a provision that accounts for an equity transaction could prohibit assignment in the event that more than 50% of the ownership of an entity or direct or indirect affiliate of such entity changes.</w:t>
      </w:r>
    </w:p>
    <w:p w:rsidR="00652491" w:rsidRPr="0073564C" w:rsidRDefault="00652491" w:rsidP="00652491">
      <w:pPr>
        <w:jc w:val="both"/>
        <w:rPr>
          <w:rFonts w:asciiTheme="minorHAnsi" w:hAnsiTheme="minorHAnsi" w:cstheme="minorHAnsi"/>
          <w:sz w:val="22"/>
          <w:szCs w:val="22"/>
        </w:rPr>
      </w:pPr>
    </w:p>
    <w:p w:rsidR="00652491" w:rsidRPr="0073564C" w:rsidRDefault="00652491" w:rsidP="00BC7243">
      <w:pPr>
        <w:ind w:firstLine="450"/>
        <w:jc w:val="both"/>
        <w:rPr>
          <w:rFonts w:asciiTheme="minorHAnsi" w:hAnsiTheme="minorHAnsi" w:cstheme="minorHAnsi"/>
          <w:sz w:val="22"/>
          <w:szCs w:val="22"/>
        </w:rPr>
      </w:pPr>
      <w:r w:rsidRPr="0073564C">
        <w:rPr>
          <w:rFonts w:asciiTheme="minorHAnsi" w:hAnsiTheme="minorHAnsi" w:cstheme="minorHAnsi"/>
          <w:sz w:val="22"/>
          <w:szCs w:val="22"/>
        </w:rPr>
        <w:t xml:space="preserve"> Avoiding boilerplate anti-assignment provisions and reviewing them carefully at the outset of a party’s entry into a commercial contract will help to alleviate the administrative burden of obtaining consents required by a particular transaction.</w:t>
      </w:r>
    </w:p>
    <w:p w:rsidR="00DB5A17" w:rsidRPr="0073564C" w:rsidRDefault="00DB5A17" w:rsidP="001E1351">
      <w:pPr>
        <w:ind w:firstLine="360"/>
        <w:rPr>
          <w:rFonts w:asciiTheme="minorHAnsi" w:hAnsiTheme="minorHAnsi" w:cstheme="minorHAnsi"/>
          <w:sz w:val="22"/>
          <w:szCs w:val="22"/>
        </w:rPr>
      </w:pPr>
    </w:p>
    <w:p w:rsidR="00652491" w:rsidRPr="0073564C" w:rsidRDefault="00652491"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Forgetting Other Contractual Obligations</w:t>
      </w:r>
      <w:r w:rsidRPr="0073564C">
        <w:rPr>
          <w:rFonts w:asciiTheme="minorHAnsi" w:hAnsiTheme="minorHAnsi" w:cstheme="minorHAnsi"/>
          <w:sz w:val="22"/>
          <w:szCs w:val="22"/>
        </w:rPr>
        <w:t xml:space="preserve">. In addition to regulatory requirements, every business operates within a landscape of contractual obligations, including organizational documents, commercial contracts and credit facility documentation, among others. Even those contracts that </w:t>
      </w:r>
      <w:proofErr w:type="gramStart"/>
      <w:r w:rsidRPr="0073564C">
        <w:rPr>
          <w:rFonts w:asciiTheme="minorHAnsi" w:hAnsiTheme="minorHAnsi" w:cstheme="minorHAnsi"/>
          <w:sz w:val="22"/>
          <w:szCs w:val="22"/>
        </w:rPr>
        <w:t>seemingly relate</w:t>
      </w:r>
      <w:proofErr w:type="gramEnd"/>
      <w:r w:rsidRPr="0073564C">
        <w:rPr>
          <w:rFonts w:asciiTheme="minorHAnsi" w:hAnsiTheme="minorHAnsi" w:cstheme="minorHAnsi"/>
          <w:sz w:val="22"/>
          <w:szCs w:val="22"/>
        </w:rPr>
        <w:t xml:space="preserve"> only to specific areas can, and often do, contain provisions that restrict broader operations. Outlined below are considerations in certain key areas where contractual obligations often present stumbling blocks in day-to-day management:</w:t>
      </w:r>
    </w:p>
    <w:p w:rsidR="00652491" w:rsidRPr="0073564C" w:rsidRDefault="00652491" w:rsidP="00652491">
      <w:pPr>
        <w:jc w:val="both"/>
        <w:rPr>
          <w:rFonts w:asciiTheme="minorHAnsi" w:hAnsiTheme="minorHAnsi" w:cstheme="minorHAnsi"/>
          <w:sz w:val="22"/>
          <w:szCs w:val="22"/>
        </w:rPr>
      </w:pPr>
    </w:p>
    <w:p w:rsidR="00652491" w:rsidRPr="0073564C" w:rsidRDefault="00652491" w:rsidP="00652491">
      <w:pPr>
        <w:pStyle w:val="ListParagraph"/>
        <w:numPr>
          <w:ilvl w:val="0"/>
          <w:numId w:val="38"/>
        </w:numPr>
        <w:jc w:val="both"/>
        <w:rPr>
          <w:rFonts w:asciiTheme="minorHAnsi" w:hAnsiTheme="minorHAnsi" w:cstheme="minorHAnsi"/>
          <w:i/>
          <w:sz w:val="22"/>
          <w:szCs w:val="22"/>
        </w:rPr>
      </w:pPr>
      <w:r w:rsidRPr="0073564C">
        <w:rPr>
          <w:rFonts w:asciiTheme="minorHAnsi" w:hAnsiTheme="minorHAnsi" w:cstheme="minorHAnsi"/>
          <w:i/>
          <w:sz w:val="22"/>
          <w:szCs w:val="22"/>
        </w:rPr>
        <w:t>Most Favored Nations Clauses</w:t>
      </w:r>
      <w:r w:rsidRPr="0073564C">
        <w:rPr>
          <w:rFonts w:asciiTheme="minorHAnsi" w:hAnsiTheme="minorHAnsi" w:cstheme="minorHAnsi"/>
          <w:sz w:val="22"/>
          <w:szCs w:val="22"/>
        </w:rPr>
        <w:t xml:space="preserve">. Typically seen in contacts for the sale of goods or services, a seller agrees under this type of provision to treat a particular buyer no worse than any other buyer. As a result, if the seller later agrees to more favorable terms, it must offer those terms to that buyer. </w:t>
      </w:r>
      <w:r w:rsidRPr="0073564C">
        <w:rPr>
          <w:rFonts w:asciiTheme="minorHAnsi" w:hAnsiTheme="minorHAnsi" w:cstheme="minorHAnsi"/>
          <w:sz w:val="22"/>
          <w:szCs w:val="22"/>
        </w:rPr>
        <w:lastRenderedPageBreak/>
        <w:t xml:space="preserve">These most often apply to pricing terms but can apply to other commercial terms, such as extensions of credit to purchase goods and payment terms. </w:t>
      </w:r>
    </w:p>
    <w:p w:rsidR="00652491" w:rsidRPr="0073564C" w:rsidRDefault="00652491" w:rsidP="00652491">
      <w:pPr>
        <w:pStyle w:val="ListParagraph"/>
        <w:numPr>
          <w:ilvl w:val="0"/>
          <w:numId w:val="38"/>
        </w:numPr>
        <w:spacing w:before="120"/>
        <w:contextualSpacing w:val="0"/>
        <w:jc w:val="both"/>
        <w:rPr>
          <w:rFonts w:asciiTheme="minorHAnsi" w:hAnsiTheme="minorHAnsi" w:cstheme="minorHAnsi"/>
          <w:i/>
          <w:sz w:val="22"/>
          <w:szCs w:val="22"/>
        </w:rPr>
      </w:pPr>
      <w:r w:rsidRPr="0073564C">
        <w:rPr>
          <w:rFonts w:asciiTheme="minorHAnsi" w:hAnsiTheme="minorHAnsi" w:cstheme="minorHAnsi"/>
          <w:i/>
          <w:sz w:val="22"/>
          <w:szCs w:val="22"/>
        </w:rPr>
        <w:t>Government Contracts</w:t>
      </w:r>
      <w:r w:rsidRPr="0073564C">
        <w:rPr>
          <w:rFonts w:asciiTheme="minorHAnsi" w:hAnsiTheme="minorHAnsi" w:cstheme="minorHAnsi"/>
          <w:sz w:val="22"/>
          <w:szCs w:val="22"/>
        </w:rPr>
        <w:t xml:space="preserve">. Contracts with any government entity </w:t>
      </w:r>
      <w:proofErr w:type="gramStart"/>
      <w:r w:rsidRPr="0073564C">
        <w:rPr>
          <w:rFonts w:asciiTheme="minorHAnsi" w:hAnsiTheme="minorHAnsi" w:cstheme="minorHAnsi"/>
          <w:sz w:val="22"/>
          <w:szCs w:val="22"/>
        </w:rPr>
        <w:t>almost always</w:t>
      </w:r>
      <w:proofErr w:type="gramEnd"/>
      <w:r w:rsidRPr="0073564C">
        <w:rPr>
          <w:rFonts w:asciiTheme="minorHAnsi" w:hAnsiTheme="minorHAnsi" w:cstheme="minorHAnsi"/>
          <w:sz w:val="22"/>
          <w:szCs w:val="22"/>
        </w:rPr>
        <w:t xml:space="preserve"> contain restrictions on the counterparty beyond the scope of a typical commercial contract. These are especially common where a business operates on government-owned land, </w:t>
      </w:r>
      <w:r w:rsidR="00D204C1" w:rsidRPr="0073564C">
        <w:rPr>
          <w:rFonts w:asciiTheme="minorHAnsi" w:hAnsiTheme="minorHAnsi" w:cstheme="minorHAnsi"/>
          <w:sz w:val="22"/>
          <w:szCs w:val="22"/>
        </w:rPr>
        <w:t xml:space="preserve">but also </w:t>
      </w:r>
      <w:r w:rsidRPr="0073564C">
        <w:rPr>
          <w:rFonts w:asciiTheme="minorHAnsi" w:hAnsiTheme="minorHAnsi" w:cstheme="minorHAnsi"/>
          <w:sz w:val="22"/>
          <w:szCs w:val="22"/>
        </w:rPr>
        <w:t>appear w</w:t>
      </w:r>
      <w:r w:rsidR="00D204C1" w:rsidRPr="0073564C">
        <w:rPr>
          <w:rFonts w:asciiTheme="minorHAnsi" w:hAnsiTheme="minorHAnsi" w:cstheme="minorHAnsi"/>
          <w:sz w:val="22"/>
          <w:szCs w:val="22"/>
        </w:rPr>
        <w:t>h</w:t>
      </w:r>
      <w:r w:rsidRPr="0073564C">
        <w:rPr>
          <w:rFonts w:asciiTheme="minorHAnsi" w:hAnsiTheme="minorHAnsi" w:cstheme="minorHAnsi"/>
          <w:sz w:val="22"/>
          <w:szCs w:val="22"/>
        </w:rPr>
        <w:t xml:space="preserve">ere a government entity is a customer. If operating under a concession agreement with a government entity, there are myriad restrictions on business operations, including restrictions on entering into agreements with certain counterparties. </w:t>
      </w:r>
    </w:p>
    <w:p w:rsidR="00652491" w:rsidRPr="0073564C" w:rsidRDefault="00652491" w:rsidP="00652491">
      <w:pPr>
        <w:pStyle w:val="ListParagraph"/>
        <w:numPr>
          <w:ilvl w:val="0"/>
          <w:numId w:val="38"/>
        </w:numPr>
        <w:spacing w:before="120"/>
        <w:contextualSpacing w:val="0"/>
        <w:jc w:val="both"/>
        <w:rPr>
          <w:rFonts w:asciiTheme="minorHAnsi" w:hAnsiTheme="minorHAnsi" w:cstheme="minorHAnsi"/>
          <w:i/>
          <w:sz w:val="22"/>
          <w:szCs w:val="22"/>
        </w:rPr>
      </w:pPr>
      <w:r w:rsidRPr="0073564C">
        <w:rPr>
          <w:rFonts w:asciiTheme="minorHAnsi" w:hAnsiTheme="minorHAnsi" w:cstheme="minorHAnsi"/>
          <w:i/>
          <w:sz w:val="22"/>
          <w:szCs w:val="22"/>
        </w:rPr>
        <w:t>Non-Competition Clauses</w:t>
      </w:r>
      <w:r w:rsidRPr="0073564C">
        <w:rPr>
          <w:rFonts w:asciiTheme="minorHAnsi" w:hAnsiTheme="minorHAnsi" w:cstheme="minorHAnsi"/>
          <w:sz w:val="22"/>
          <w:szCs w:val="22"/>
        </w:rPr>
        <w:t xml:space="preserve">.  If any confidential or proprietary information is shared pursuant to a contractual arrangement, a non-competition clause is </w:t>
      </w:r>
      <w:proofErr w:type="gramStart"/>
      <w:r w:rsidRPr="0073564C">
        <w:rPr>
          <w:rFonts w:asciiTheme="minorHAnsi" w:hAnsiTheme="minorHAnsi" w:cstheme="minorHAnsi"/>
          <w:sz w:val="22"/>
          <w:szCs w:val="22"/>
        </w:rPr>
        <w:t>likely also</w:t>
      </w:r>
      <w:proofErr w:type="gramEnd"/>
      <w:r w:rsidRPr="0073564C">
        <w:rPr>
          <w:rFonts w:asciiTheme="minorHAnsi" w:hAnsiTheme="minorHAnsi" w:cstheme="minorHAnsi"/>
          <w:sz w:val="22"/>
          <w:szCs w:val="22"/>
        </w:rPr>
        <w:t xml:space="preserve"> included. This prohibits a business from using a counterparty’s confidential information to compete with said counterparty. Non-competition clauses may also restrict sharing of confidential information internally or to other vendors, inadvertently hindering operations. </w:t>
      </w:r>
    </w:p>
    <w:p w:rsidR="00652491" w:rsidRPr="0073564C" w:rsidRDefault="00652491" w:rsidP="00652491">
      <w:pPr>
        <w:pStyle w:val="ListParagraph"/>
        <w:numPr>
          <w:ilvl w:val="0"/>
          <w:numId w:val="38"/>
        </w:numPr>
        <w:spacing w:before="120"/>
        <w:contextualSpacing w:val="0"/>
        <w:jc w:val="both"/>
        <w:rPr>
          <w:rFonts w:asciiTheme="minorHAnsi" w:hAnsiTheme="minorHAnsi" w:cstheme="minorHAnsi"/>
          <w:i/>
          <w:sz w:val="22"/>
          <w:szCs w:val="22"/>
        </w:rPr>
      </w:pPr>
      <w:r w:rsidRPr="0073564C">
        <w:rPr>
          <w:rFonts w:asciiTheme="minorHAnsi" w:hAnsiTheme="minorHAnsi" w:cstheme="minorHAnsi"/>
          <w:i/>
          <w:sz w:val="22"/>
          <w:szCs w:val="22"/>
        </w:rPr>
        <w:t>Credit Facility Documents</w:t>
      </w:r>
      <w:r w:rsidRPr="0073564C">
        <w:rPr>
          <w:rFonts w:asciiTheme="minorHAnsi" w:hAnsiTheme="minorHAnsi" w:cstheme="minorHAnsi"/>
          <w:sz w:val="22"/>
          <w:szCs w:val="22"/>
        </w:rPr>
        <w:t xml:space="preserve">. Lenders typically require broad restrictions over business operations to ensure that loan proceeds are put to proper use. Lenders often prohibit, among other things, expenditures in excess of certain thresholds, encumbrance of assets and amendments to certain important contracts. It is important to be familiar with the monetary thresholds for prohibitions on certain transactions and amendments to certain material contracts. Further, certain other contracts may provide for a security interest in assets that collateralize a credit facility – a construction services agreement, for example. </w:t>
      </w:r>
    </w:p>
    <w:p w:rsidR="00652491" w:rsidRPr="0073564C" w:rsidRDefault="00652491" w:rsidP="00652491">
      <w:pPr>
        <w:pStyle w:val="ListParagraph"/>
        <w:numPr>
          <w:ilvl w:val="0"/>
          <w:numId w:val="38"/>
        </w:numPr>
        <w:spacing w:before="120"/>
        <w:contextualSpacing w:val="0"/>
        <w:jc w:val="both"/>
        <w:rPr>
          <w:rFonts w:asciiTheme="minorHAnsi" w:hAnsiTheme="minorHAnsi" w:cstheme="minorHAnsi"/>
          <w:i/>
          <w:sz w:val="22"/>
          <w:szCs w:val="22"/>
        </w:rPr>
      </w:pPr>
      <w:r w:rsidRPr="0073564C">
        <w:rPr>
          <w:rFonts w:asciiTheme="minorHAnsi" w:hAnsiTheme="minorHAnsi" w:cstheme="minorHAnsi"/>
          <w:i/>
          <w:sz w:val="22"/>
          <w:szCs w:val="22"/>
        </w:rPr>
        <w:t>Supremacy Clauses</w:t>
      </w:r>
      <w:r w:rsidRPr="0073564C">
        <w:rPr>
          <w:rFonts w:asciiTheme="minorHAnsi" w:hAnsiTheme="minorHAnsi" w:cstheme="minorHAnsi"/>
          <w:sz w:val="22"/>
          <w:szCs w:val="22"/>
        </w:rPr>
        <w:t xml:space="preserve">. </w:t>
      </w:r>
      <w:r w:rsidR="00900FCC" w:rsidRPr="0073564C">
        <w:rPr>
          <w:rFonts w:asciiTheme="minorHAnsi" w:hAnsiTheme="minorHAnsi" w:cstheme="minorHAnsi"/>
          <w:sz w:val="22"/>
          <w:szCs w:val="22"/>
        </w:rPr>
        <w:t>A supremacy clause dictates</w:t>
      </w:r>
      <w:r w:rsidRPr="0073564C">
        <w:rPr>
          <w:rFonts w:asciiTheme="minorHAnsi" w:hAnsiTheme="minorHAnsi" w:cstheme="minorHAnsi"/>
          <w:sz w:val="22"/>
          <w:szCs w:val="22"/>
        </w:rPr>
        <w:t xml:space="preserve"> which contract will govern in the event of a direct conflict between two or more contracts. For example, a master services agreement typically contains the broad agreement between parties for certain services. As various proje</w:t>
      </w:r>
      <w:r w:rsidR="00D204C1" w:rsidRPr="0073564C">
        <w:rPr>
          <w:rFonts w:asciiTheme="minorHAnsi" w:hAnsiTheme="minorHAnsi" w:cstheme="minorHAnsi"/>
          <w:sz w:val="22"/>
          <w:szCs w:val="22"/>
        </w:rPr>
        <w:t>cts arise, statements of work are</w:t>
      </w:r>
      <w:r w:rsidRPr="0073564C">
        <w:rPr>
          <w:rFonts w:asciiTheme="minorHAnsi" w:hAnsiTheme="minorHAnsi" w:cstheme="minorHAnsi"/>
          <w:sz w:val="22"/>
          <w:szCs w:val="22"/>
        </w:rPr>
        <w:t xml:space="preserve"> issued. Statements of work should be drafted narrowly to avoid including any terms that directly conflict with the applicable master services agreement. Supremacy issues can also arise when multiple contracts exist between the same parties. Supremacy clauses between those parties should be narrowly drafted to avoid superseding agreements that pertain to unrelated subject matter. </w:t>
      </w:r>
    </w:p>
    <w:p w:rsidR="00652491" w:rsidRPr="0073564C" w:rsidRDefault="00652491" w:rsidP="00652491">
      <w:pPr>
        <w:spacing w:before="120"/>
        <w:jc w:val="both"/>
        <w:rPr>
          <w:rFonts w:asciiTheme="minorHAnsi" w:hAnsiTheme="minorHAnsi" w:cstheme="minorHAnsi"/>
          <w:sz w:val="22"/>
          <w:szCs w:val="22"/>
        </w:rPr>
      </w:pPr>
      <w:r w:rsidRPr="0073564C">
        <w:rPr>
          <w:rFonts w:asciiTheme="minorHAnsi" w:hAnsiTheme="minorHAnsi" w:cstheme="minorHAnsi"/>
          <w:sz w:val="22"/>
          <w:szCs w:val="22"/>
        </w:rPr>
        <w:t xml:space="preserve">To avoid unintended breaches as a result of any of the issues discussed above, corporate counsel should consider creating a spreadsheet database for reference categorizing the various contractual restrictions. </w:t>
      </w:r>
    </w:p>
    <w:p w:rsidR="00652491" w:rsidRPr="0073564C" w:rsidRDefault="00652491" w:rsidP="001E1351">
      <w:pPr>
        <w:ind w:firstLine="360"/>
        <w:rPr>
          <w:rFonts w:asciiTheme="minorHAnsi" w:hAnsiTheme="minorHAnsi" w:cstheme="minorHAnsi"/>
          <w:sz w:val="22"/>
          <w:szCs w:val="22"/>
        </w:rPr>
      </w:pPr>
    </w:p>
    <w:p w:rsidR="00C67140" w:rsidRPr="0073564C" w:rsidRDefault="00C67140" w:rsidP="007D7CE2">
      <w:pPr>
        <w:pStyle w:val="ListParagraph"/>
        <w:numPr>
          <w:ilvl w:val="0"/>
          <w:numId w:val="39"/>
        </w:numPr>
        <w:ind w:left="0" w:firstLine="540"/>
        <w:jc w:val="both"/>
        <w:rPr>
          <w:rFonts w:asciiTheme="minorHAnsi" w:hAnsiTheme="minorHAnsi" w:cstheme="minorHAnsi"/>
          <w:sz w:val="22"/>
          <w:szCs w:val="22"/>
          <w:u w:val="single"/>
        </w:rPr>
      </w:pPr>
      <w:r w:rsidRPr="0073564C">
        <w:rPr>
          <w:rFonts w:asciiTheme="minorHAnsi" w:hAnsiTheme="minorHAnsi" w:cstheme="minorHAnsi"/>
          <w:sz w:val="22"/>
          <w:szCs w:val="22"/>
          <w:u w:val="single"/>
        </w:rPr>
        <w:t>Neglecting Confidentiality Provisions and NDAs</w:t>
      </w:r>
      <w:r w:rsidRPr="0073564C">
        <w:rPr>
          <w:rFonts w:asciiTheme="minorHAnsi" w:hAnsiTheme="minorHAnsi" w:cstheme="minorHAnsi"/>
          <w:sz w:val="22"/>
          <w:szCs w:val="22"/>
        </w:rPr>
        <w:t>. One of the first questions that should be asked before negotiating an agreement or transaction is whether any confidential information will be shared.  If so, consider whether a non-disclosure agreement (or “NDA”) or a confidentiality provi</w:t>
      </w:r>
      <w:r w:rsidR="00CB6D9C" w:rsidRPr="0073564C">
        <w:rPr>
          <w:rFonts w:asciiTheme="minorHAnsi" w:hAnsiTheme="minorHAnsi" w:cstheme="minorHAnsi"/>
          <w:sz w:val="22"/>
          <w:szCs w:val="22"/>
        </w:rPr>
        <w:t>sion is appropriate. If it is, consider</w:t>
      </w:r>
      <w:r w:rsidRPr="0073564C">
        <w:rPr>
          <w:rFonts w:asciiTheme="minorHAnsi" w:hAnsiTheme="minorHAnsi" w:cstheme="minorHAnsi"/>
          <w:sz w:val="22"/>
          <w:szCs w:val="22"/>
        </w:rPr>
        <w:t xml:space="preserve"> whether it should be mutual (depending on whether just one or both parties will be sharing confidential information).  Where multiple parties are involved, parties should be clear as to who has the right to enforce the NDA and whether there are third-party beneficiaries.  </w:t>
      </w:r>
      <w:r w:rsidR="00CB6D9C" w:rsidRPr="0073564C">
        <w:rPr>
          <w:rFonts w:asciiTheme="minorHAnsi" w:hAnsiTheme="minorHAnsi" w:cstheme="minorHAnsi"/>
          <w:sz w:val="22"/>
          <w:szCs w:val="22"/>
        </w:rPr>
        <w:t>W</w:t>
      </w:r>
      <w:r w:rsidRPr="0073564C">
        <w:rPr>
          <w:rFonts w:asciiTheme="minorHAnsi" w:hAnsiTheme="minorHAnsi" w:cstheme="minorHAnsi"/>
          <w:sz w:val="22"/>
          <w:szCs w:val="22"/>
        </w:rPr>
        <w:t xml:space="preserve">hile NDAs are often perceived as protecting the disclosing party, NDAs are equally important to the receiving party </w:t>
      </w:r>
      <w:r w:rsidR="00CB6D9C" w:rsidRPr="0073564C">
        <w:rPr>
          <w:rFonts w:asciiTheme="minorHAnsi" w:hAnsiTheme="minorHAnsi" w:cstheme="minorHAnsi"/>
          <w:sz w:val="22"/>
          <w:szCs w:val="22"/>
        </w:rPr>
        <w:t>in defining</w:t>
      </w:r>
      <w:r w:rsidRPr="0073564C">
        <w:rPr>
          <w:rFonts w:asciiTheme="minorHAnsi" w:hAnsiTheme="minorHAnsi" w:cstheme="minorHAnsi"/>
          <w:sz w:val="22"/>
          <w:szCs w:val="22"/>
        </w:rPr>
        <w:t xml:space="preserve"> the scope of the receiving party’s obligations with respect to information received. Key concepts and considerations in an NDA include the following:</w:t>
      </w:r>
    </w:p>
    <w:p w:rsidR="00C67140" w:rsidRPr="0073564C" w:rsidRDefault="00C67140" w:rsidP="00C6714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Definition of “Confidential Information.”</w:t>
      </w:r>
      <w:r w:rsidRPr="0073564C">
        <w:rPr>
          <w:rFonts w:asciiTheme="minorHAnsi" w:hAnsiTheme="minorHAnsi" w:cstheme="minorHAnsi"/>
          <w:sz w:val="22"/>
          <w:szCs w:val="22"/>
        </w:rPr>
        <w:t xml:space="preserve">  “Confidential Information” should only be information received “on or after” the date of the NDA </w:t>
      </w:r>
      <w:r w:rsidR="00560C19" w:rsidRPr="0073564C">
        <w:rPr>
          <w:rFonts w:asciiTheme="minorHAnsi" w:hAnsiTheme="minorHAnsi" w:cstheme="minorHAnsi"/>
          <w:sz w:val="22"/>
          <w:szCs w:val="22"/>
        </w:rPr>
        <w:t>to provide</w:t>
      </w:r>
      <w:r w:rsidRPr="0073564C">
        <w:rPr>
          <w:rFonts w:asciiTheme="minorHAnsi" w:hAnsiTheme="minorHAnsi" w:cstheme="minorHAnsi"/>
          <w:sz w:val="22"/>
          <w:szCs w:val="22"/>
        </w:rPr>
        <w:t xml:space="preserve"> a definite start date from which to track obligations.  If the counterparty is insistent that information </w:t>
      </w:r>
      <w:r w:rsidR="00560C19" w:rsidRPr="0073564C">
        <w:rPr>
          <w:rFonts w:asciiTheme="minorHAnsi" w:hAnsiTheme="minorHAnsi" w:cstheme="minorHAnsi"/>
          <w:sz w:val="22"/>
          <w:szCs w:val="22"/>
        </w:rPr>
        <w:t xml:space="preserve">previously </w:t>
      </w:r>
      <w:r w:rsidRPr="0073564C">
        <w:rPr>
          <w:rFonts w:asciiTheme="minorHAnsi" w:hAnsiTheme="minorHAnsi" w:cstheme="minorHAnsi"/>
          <w:sz w:val="22"/>
          <w:szCs w:val="22"/>
        </w:rPr>
        <w:t xml:space="preserve">provided be Confidential Information, a fixed start date should be included.  Confidential Information should only be information belonging to, or about, the disclosing party.  If Confidential Information will include information about an unaffiliated third party, consider </w:t>
      </w:r>
      <w:r w:rsidR="001B1035" w:rsidRPr="0073564C">
        <w:rPr>
          <w:rFonts w:asciiTheme="minorHAnsi" w:hAnsiTheme="minorHAnsi" w:cstheme="minorHAnsi"/>
          <w:sz w:val="22"/>
          <w:szCs w:val="22"/>
        </w:rPr>
        <w:t>including a</w:t>
      </w:r>
      <w:r w:rsidRPr="0073564C">
        <w:rPr>
          <w:rFonts w:asciiTheme="minorHAnsi" w:hAnsiTheme="minorHAnsi" w:cstheme="minorHAnsi"/>
          <w:sz w:val="22"/>
          <w:szCs w:val="22"/>
        </w:rPr>
        <w:t xml:space="preserve"> </w:t>
      </w:r>
      <w:r w:rsidR="001B1035" w:rsidRPr="0073564C">
        <w:rPr>
          <w:rFonts w:asciiTheme="minorHAnsi" w:hAnsiTheme="minorHAnsi" w:cstheme="minorHAnsi"/>
          <w:sz w:val="22"/>
          <w:szCs w:val="22"/>
        </w:rPr>
        <w:t xml:space="preserve">representation from the </w:t>
      </w:r>
      <w:r w:rsidR="001B1035" w:rsidRPr="0073564C">
        <w:rPr>
          <w:rFonts w:asciiTheme="minorHAnsi" w:hAnsiTheme="minorHAnsi" w:cstheme="minorHAnsi"/>
          <w:sz w:val="22"/>
          <w:szCs w:val="22"/>
        </w:rPr>
        <w:lastRenderedPageBreak/>
        <w:t>disclosing party that it is authorized</w:t>
      </w:r>
      <w:r w:rsidRPr="0073564C">
        <w:rPr>
          <w:rFonts w:asciiTheme="minorHAnsi" w:hAnsiTheme="minorHAnsi" w:cstheme="minorHAnsi"/>
          <w:sz w:val="22"/>
          <w:szCs w:val="22"/>
        </w:rPr>
        <w:t xml:space="preserve"> to disclose the Confidential Information for the purposes contemplated in the NDA.</w:t>
      </w:r>
    </w:p>
    <w:p w:rsidR="00C67140" w:rsidRPr="0073564C" w:rsidRDefault="00935F23" w:rsidP="00C6714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 xml:space="preserve">Definition of “Representatives.” </w:t>
      </w:r>
      <w:r w:rsidR="00C67140" w:rsidRPr="0073564C">
        <w:rPr>
          <w:rFonts w:asciiTheme="minorHAnsi" w:hAnsiTheme="minorHAnsi" w:cstheme="minorHAnsi"/>
          <w:sz w:val="22"/>
          <w:szCs w:val="22"/>
        </w:rPr>
        <w:t xml:space="preserve">“Representatives” are persons who may receive Confidential Information from the receiving party.  The disclosing party’s interests are ensuring that it will be able </w:t>
      </w:r>
      <w:r w:rsidR="001B1035" w:rsidRPr="0073564C">
        <w:rPr>
          <w:rFonts w:asciiTheme="minorHAnsi" w:hAnsiTheme="minorHAnsi" w:cstheme="minorHAnsi"/>
          <w:sz w:val="22"/>
          <w:szCs w:val="22"/>
        </w:rPr>
        <w:t xml:space="preserve">to monitor who has received </w:t>
      </w:r>
      <w:r w:rsidR="00C67140" w:rsidRPr="0073564C">
        <w:rPr>
          <w:rFonts w:asciiTheme="minorHAnsi" w:hAnsiTheme="minorHAnsi" w:cstheme="minorHAnsi"/>
          <w:sz w:val="22"/>
          <w:szCs w:val="22"/>
        </w:rPr>
        <w:t>Confidential Information and maintain</w:t>
      </w:r>
      <w:r w:rsidR="001B1035" w:rsidRPr="0073564C">
        <w:rPr>
          <w:rFonts w:asciiTheme="minorHAnsi" w:hAnsiTheme="minorHAnsi" w:cstheme="minorHAnsi"/>
          <w:sz w:val="22"/>
          <w:szCs w:val="22"/>
        </w:rPr>
        <w:t>ing</w:t>
      </w:r>
      <w:r w:rsidR="00C67140" w:rsidRPr="0073564C">
        <w:rPr>
          <w:rFonts w:asciiTheme="minorHAnsi" w:hAnsiTheme="minorHAnsi" w:cstheme="minorHAnsi"/>
          <w:sz w:val="22"/>
          <w:szCs w:val="22"/>
        </w:rPr>
        <w:t xml:space="preserve"> control over the process.  The receiving party simply wants flexibility to disclose Confidential Information to whomever it deems appropriate.  </w:t>
      </w:r>
      <w:proofErr w:type="gramStart"/>
      <w:r w:rsidR="00C67140" w:rsidRPr="0073564C">
        <w:rPr>
          <w:rFonts w:asciiTheme="minorHAnsi" w:hAnsiTheme="minorHAnsi" w:cstheme="minorHAnsi"/>
          <w:sz w:val="22"/>
          <w:szCs w:val="22"/>
        </w:rPr>
        <w:t>Generally, the</w:t>
      </w:r>
      <w:proofErr w:type="gramEnd"/>
      <w:r w:rsidR="00C67140" w:rsidRPr="0073564C">
        <w:rPr>
          <w:rFonts w:asciiTheme="minorHAnsi" w:hAnsiTheme="minorHAnsi" w:cstheme="minorHAnsi"/>
          <w:sz w:val="22"/>
          <w:szCs w:val="22"/>
        </w:rPr>
        <w:t xml:space="preserve"> interests of the disclosing party outweigh those of the receiving party. To protect its interests, the receiving party can provide the disclosing party with a consent right to share Confidential Information with certain of the receiving party’s Representatives.</w:t>
      </w:r>
    </w:p>
    <w:p w:rsidR="00C67140" w:rsidRPr="0073564C" w:rsidRDefault="00C67140" w:rsidP="00C6714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Terms and “tails” with respect to trade secrets.</w:t>
      </w:r>
      <w:r w:rsidRPr="0073564C">
        <w:rPr>
          <w:rFonts w:asciiTheme="minorHAnsi" w:hAnsiTheme="minorHAnsi" w:cstheme="minorHAnsi"/>
          <w:sz w:val="22"/>
          <w:szCs w:val="22"/>
        </w:rPr>
        <w:t xml:space="preserve">  Subject to certain exceptions, a term of two years is market for NDAs.  Some states view confidentiality agreements without a specified duration as unreasonable restraints on trade if they apply to information that, while confidential, does not rise to the level of being a trade secret under applicable law.  If a disclosing party wants the term of an NDA to be extended with respect to Confidential Information that qualifies as a trade secret, the disclosing party may request that the term of the NDA </w:t>
      </w:r>
      <w:r w:rsidR="001B1035" w:rsidRPr="0073564C">
        <w:rPr>
          <w:rFonts w:asciiTheme="minorHAnsi" w:hAnsiTheme="minorHAnsi" w:cstheme="minorHAnsi"/>
          <w:sz w:val="22"/>
          <w:szCs w:val="22"/>
        </w:rPr>
        <w:t xml:space="preserve">continue indefinitely </w:t>
      </w:r>
      <w:r w:rsidR="00647F2B" w:rsidRPr="0073564C">
        <w:rPr>
          <w:rFonts w:asciiTheme="minorHAnsi" w:hAnsiTheme="minorHAnsi" w:cstheme="minorHAnsi"/>
          <w:sz w:val="22"/>
          <w:szCs w:val="22"/>
        </w:rPr>
        <w:t>with respect to only</w:t>
      </w:r>
      <w:r w:rsidRPr="0073564C">
        <w:rPr>
          <w:rFonts w:asciiTheme="minorHAnsi" w:hAnsiTheme="minorHAnsi" w:cstheme="minorHAnsi"/>
          <w:sz w:val="22"/>
          <w:szCs w:val="22"/>
        </w:rPr>
        <w:t xml:space="preserve"> Confidential Information that qualifies as a trade secret.</w:t>
      </w:r>
    </w:p>
    <w:p w:rsidR="00B41707" w:rsidRPr="0073564C" w:rsidRDefault="00B41707" w:rsidP="00B41707">
      <w:pPr>
        <w:ind w:firstLine="720"/>
        <w:rPr>
          <w:rFonts w:asciiTheme="minorHAnsi" w:hAnsiTheme="minorHAnsi" w:cstheme="minorHAnsi"/>
          <w:sz w:val="22"/>
          <w:szCs w:val="22"/>
        </w:rPr>
      </w:pPr>
    </w:p>
    <w:p w:rsidR="00935F23" w:rsidRPr="0073564C" w:rsidRDefault="004F706C"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 xml:space="preserve">Overlooking Governing Document and </w:t>
      </w:r>
      <w:proofErr w:type="gramStart"/>
      <w:r w:rsidRPr="0073564C">
        <w:rPr>
          <w:rFonts w:asciiTheme="minorHAnsi" w:hAnsiTheme="minorHAnsi" w:cstheme="minorHAnsi"/>
          <w:sz w:val="22"/>
          <w:szCs w:val="22"/>
          <w:u w:val="single"/>
        </w:rPr>
        <w:t>Third Party</w:t>
      </w:r>
      <w:proofErr w:type="gramEnd"/>
      <w:r w:rsidRPr="0073564C">
        <w:rPr>
          <w:rFonts w:asciiTheme="minorHAnsi" w:hAnsiTheme="minorHAnsi" w:cstheme="minorHAnsi"/>
          <w:sz w:val="22"/>
          <w:szCs w:val="22"/>
          <w:u w:val="single"/>
        </w:rPr>
        <w:t xml:space="preserve"> Consent Requirements</w:t>
      </w:r>
      <w:r w:rsidR="009A478E" w:rsidRPr="0073564C">
        <w:rPr>
          <w:rFonts w:asciiTheme="minorHAnsi" w:hAnsiTheme="minorHAnsi" w:cstheme="minorHAnsi"/>
          <w:sz w:val="22"/>
          <w:szCs w:val="22"/>
        </w:rPr>
        <w:t xml:space="preserve">. </w:t>
      </w:r>
    </w:p>
    <w:p w:rsidR="00935F23" w:rsidRPr="0073564C" w:rsidRDefault="00935F23" w:rsidP="00935F23">
      <w:pPr>
        <w:pStyle w:val="ListParagraph"/>
        <w:ind w:left="450"/>
        <w:jc w:val="both"/>
        <w:rPr>
          <w:rFonts w:asciiTheme="minorHAnsi" w:hAnsiTheme="minorHAnsi" w:cstheme="minorHAnsi"/>
          <w:sz w:val="22"/>
          <w:szCs w:val="22"/>
        </w:rPr>
      </w:pPr>
    </w:p>
    <w:p w:rsidR="004F706C" w:rsidRPr="0073564C" w:rsidRDefault="00CB09FD" w:rsidP="00935F23">
      <w:pPr>
        <w:ind w:firstLine="450"/>
        <w:jc w:val="both"/>
        <w:rPr>
          <w:rFonts w:asciiTheme="minorHAnsi" w:hAnsiTheme="minorHAnsi" w:cstheme="minorHAnsi"/>
          <w:sz w:val="22"/>
          <w:szCs w:val="22"/>
        </w:rPr>
      </w:pPr>
      <w:r w:rsidRPr="0073564C">
        <w:rPr>
          <w:rFonts w:asciiTheme="minorHAnsi" w:hAnsiTheme="minorHAnsi" w:cstheme="minorHAnsi"/>
          <w:sz w:val="22"/>
          <w:szCs w:val="22"/>
        </w:rPr>
        <w:t>A corporation can only act pursuant to authority delegated by its board of directors, subject to certain stockholder consent requirements</w:t>
      </w:r>
      <w:r w:rsidR="0007099F" w:rsidRPr="0073564C">
        <w:rPr>
          <w:rFonts w:asciiTheme="minorHAnsi" w:hAnsiTheme="minorHAnsi" w:cstheme="minorHAnsi"/>
          <w:sz w:val="22"/>
          <w:szCs w:val="22"/>
        </w:rPr>
        <w:t>. A limited liability company</w:t>
      </w:r>
      <w:r w:rsidRPr="0073564C">
        <w:rPr>
          <w:rFonts w:asciiTheme="minorHAnsi" w:hAnsiTheme="minorHAnsi" w:cstheme="minorHAnsi"/>
          <w:sz w:val="22"/>
          <w:szCs w:val="22"/>
        </w:rPr>
        <w:t xml:space="preserve"> can only act pursuant to authority delegated by </w:t>
      </w:r>
      <w:r w:rsidR="0007099F" w:rsidRPr="0073564C">
        <w:rPr>
          <w:rFonts w:asciiTheme="minorHAnsi" w:hAnsiTheme="minorHAnsi" w:cstheme="minorHAnsi"/>
          <w:sz w:val="22"/>
          <w:szCs w:val="22"/>
        </w:rPr>
        <w:t>its</w:t>
      </w:r>
      <w:r w:rsidRPr="0073564C">
        <w:rPr>
          <w:rFonts w:asciiTheme="minorHAnsi" w:hAnsiTheme="minorHAnsi" w:cstheme="minorHAnsi"/>
          <w:sz w:val="22"/>
          <w:szCs w:val="22"/>
        </w:rPr>
        <w:t xml:space="preserve"> members or</w:t>
      </w:r>
      <w:r w:rsidR="004F706C" w:rsidRPr="0073564C">
        <w:rPr>
          <w:rFonts w:asciiTheme="minorHAnsi" w:hAnsiTheme="minorHAnsi" w:cstheme="minorHAnsi"/>
          <w:sz w:val="22"/>
          <w:szCs w:val="22"/>
        </w:rPr>
        <w:t xml:space="preserve"> managers.  This authority is </w:t>
      </w:r>
      <w:r w:rsidR="0007099F" w:rsidRPr="0073564C">
        <w:rPr>
          <w:rFonts w:asciiTheme="minorHAnsi" w:hAnsiTheme="minorHAnsi" w:cstheme="minorHAnsi"/>
          <w:sz w:val="22"/>
          <w:szCs w:val="22"/>
        </w:rPr>
        <w:t>granted via statute but</w:t>
      </w:r>
      <w:r w:rsidR="004F706C" w:rsidRPr="0073564C">
        <w:rPr>
          <w:rFonts w:asciiTheme="minorHAnsi" w:hAnsiTheme="minorHAnsi" w:cstheme="minorHAnsi"/>
          <w:sz w:val="22"/>
          <w:szCs w:val="22"/>
        </w:rPr>
        <w:t xml:space="preserve"> may be waived or modified in an entity’s governing documen</w:t>
      </w:r>
      <w:r w:rsidR="005655D4" w:rsidRPr="0073564C">
        <w:rPr>
          <w:rFonts w:asciiTheme="minorHAnsi" w:hAnsiTheme="minorHAnsi" w:cstheme="minorHAnsi"/>
          <w:sz w:val="22"/>
          <w:szCs w:val="22"/>
        </w:rPr>
        <w:t>ts, such as the certificate of incorporation</w:t>
      </w:r>
      <w:r w:rsidR="0007099F" w:rsidRPr="0073564C">
        <w:rPr>
          <w:rFonts w:asciiTheme="minorHAnsi" w:hAnsiTheme="minorHAnsi" w:cstheme="minorHAnsi"/>
          <w:sz w:val="22"/>
          <w:szCs w:val="22"/>
        </w:rPr>
        <w:t xml:space="preserve">, </w:t>
      </w:r>
      <w:r w:rsidR="005655D4" w:rsidRPr="0073564C">
        <w:rPr>
          <w:rFonts w:asciiTheme="minorHAnsi" w:hAnsiTheme="minorHAnsi" w:cstheme="minorHAnsi"/>
          <w:sz w:val="22"/>
          <w:szCs w:val="22"/>
        </w:rPr>
        <w:t xml:space="preserve">bylaws or </w:t>
      </w:r>
      <w:r w:rsidR="004F706C" w:rsidRPr="0073564C">
        <w:rPr>
          <w:rFonts w:asciiTheme="minorHAnsi" w:hAnsiTheme="minorHAnsi" w:cstheme="minorHAnsi"/>
          <w:sz w:val="22"/>
          <w:szCs w:val="22"/>
        </w:rPr>
        <w:t xml:space="preserve">operating agreement.  Prior to entering into any commercial contract, it is </w:t>
      </w:r>
      <w:r w:rsidR="005655D4" w:rsidRPr="0073564C">
        <w:rPr>
          <w:rFonts w:asciiTheme="minorHAnsi" w:hAnsiTheme="minorHAnsi" w:cstheme="minorHAnsi"/>
          <w:sz w:val="22"/>
          <w:szCs w:val="22"/>
        </w:rPr>
        <w:t>imperative</w:t>
      </w:r>
      <w:r w:rsidR="004F706C" w:rsidRPr="0073564C">
        <w:rPr>
          <w:rFonts w:asciiTheme="minorHAnsi" w:hAnsiTheme="minorHAnsi" w:cstheme="minorHAnsi"/>
          <w:sz w:val="22"/>
          <w:szCs w:val="22"/>
        </w:rPr>
        <w:t xml:space="preserve"> to verify whether approval of the</w:t>
      </w:r>
      <w:r w:rsidR="005655D4" w:rsidRPr="0073564C">
        <w:rPr>
          <w:rFonts w:asciiTheme="minorHAnsi" w:hAnsiTheme="minorHAnsi" w:cstheme="minorHAnsi"/>
          <w:sz w:val="22"/>
          <w:szCs w:val="22"/>
        </w:rPr>
        <w:t xml:space="preserve"> applicable governing body</w:t>
      </w:r>
      <w:r w:rsidR="004F706C" w:rsidRPr="0073564C">
        <w:rPr>
          <w:rFonts w:asciiTheme="minorHAnsi" w:hAnsiTheme="minorHAnsi" w:cstheme="minorHAnsi"/>
          <w:sz w:val="22"/>
          <w:szCs w:val="22"/>
        </w:rPr>
        <w:t xml:space="preserve"> </w:t>
      </w:r>
      <w:r w:rsidR="005655D4" w:rsidRPr="0073564C">
        <w:rPr>
          <w:rFonts w:asciiTheme="minorHAnsi" w:hAnsiTheme="minorHAnsi" w:cstheme="minorHAnsi"/>
          <w:sz w:val="22"/>
          <w:szCs w:val="22"/>
        </w:rPr>
        <w:t>(</w:t>
      </w:r>
      <w:r w:rsidR="005655D4" w:rsidRPr="0073564C">
        <w:rPr>
          <w:rFonts w:asciiTheme="minorHAnsi" w:hAnsiTheme="minorHAnsi" w:cstheme="minorHAnsi"/>
          <w:i/>
          <w:sz w:val="22"/>
          <w:szCs w:val="22"/>
        </w:rPr>
        <w:t>e.g.</w:t>
      </w:r>
      <w:r w:rsidR="005655D4" w:rsidRPr="0073564C">
        <w:rPr>
          <w:rFonts w:asciiTheme="minorHAnsi" w:hAnsiTheme="minorHAnsi" w:cstheme="minorHAnsi"/>
          <w:sz w:val="22"/>
          <w:szCs w:val="22"/>
        </w:rPr>
        <w:t xml:space="preserve"> the board of directors or board of managers) or the entity’s equity owners (</w:t>
      </w:r>
      <w:r w:rsidR="005655D4" w:rsidRPr="0073564C">
        <w:rPr>
          <w:rFonts w:asciiTheme="minorHAnsi" w:hAnsiTheme="minorHAnsi" w:cstheme="minorHAnsi"/>
          <w:i/>
          <w:sz w:val="22"/>
          <w:szCs w:val="22"/>
        </w:rPr>
        <w:t>e.g.</w:t>
      </w:r>
      <w:r w:rsidR="005655D4" w:rsidRPr="0073564C">
        <w:rPr>
          <w:rFonts w:asciiTheme="minorHAnsi" w:hAnsiTheme="minorHAnsi" w:cstheme="minorHAnsi"/>
          <w:sz w:val="22"/>
          <w:szCs w:val="22"/>
        </w:rPr>
        <w:t xml:space="preserve"> stockholders or members)</w:t>
      </w:r>
      <w:r w:rsidR="004F706C" w:rsidRPr="0073564C">
        <w:rPr>
          <w:rFonts w:asciiTheme="minorHAnsi" w:hAnsiTheme="minorHAnsi" w:cstheme="minorHAnsi"/>
          <w:sz w:val="22"/>
          <w:szCs w:val="22"/>
        </w:rPr>
        <w:t xml:space="preserve"> is required.  It is also important to verify whether the consent of any</w:t>
      </w:r>
      <w:r w:rsidR="0007099F" w:rsidRPr="0073564C">
        <w:rPr>
          <w:rFonts w:asciiTheme="minorHAnsi" w:hAnsiTheme="minorHAnsi" w:cstheme="minorHAnsi"/>
          <w:sz w:val="22"/>
          <w:szCs w:val="22"/>
        </w:rPr>
        <w:t xml:space="preserve"> third parties</w:t>
      </w:r>
      <w:r w:rsidR="005655D4" w:rsidRPr="0073564C">
        <w:rPr>
          <w:rFonts w:asciiTheme="minorHAnsi" w:hAnsiTheme="minorHAnsi" w:cstheme="minorHAnsi"/>
          <w:sz w:val="22"/>
          <w:szCs w:val="22"/>
        </w:rPr>
        <w:t xml:space="preserve"> (</w:t>
      </w:r>
      <w:r w:rsidR="006618FB" w:rsidRPr="0073564C">
        <w:rPr>
          <w:rFonts w:asciiTheme="minorHAnsi" w:hAnsiTheme="minorHAnsi" w:cstheme="minorHAnsi"/>
          <w:i/>
          <w:sz w:val="22"/>
          <w:szCs w:val="22"/>
        </w:rPr>
        <w:t xml:space="preserve">e.g. </w:t>
      </w:r>
      <w:r w:rsidR="005655D4" w:rsidRPr="0073564C">
        <w:rPr>
          <w:rFonts w:asciiTheme="minorHAnsi" w:hAnsiTheme="minorHAnsi" w:cstheme="minorHAnsi"/>
          <w:sz w:val="22"/>
          <w:szCs w:val="22"/>
        </w:rPr>
        <w:t>lenders or service providers</w:t>
      </w:r>
      <w:r w:rsidR="004F706C" w:rsidRPr="0073564C">
        <w:rPr>
          <w:rFonts w:asciiTheme="minorHAnsi" w:hAnsiTheme="minorHAnsi" w:cstheme="minorHAnsi"/>
          <w:sz w:val="22"/>
          <w:szCs w:val="22"/>
        </w:rPr>
        <w:t>) is required prior to entering into any contract.  Consent requirements</w:t>
      </w:r>
      <w:r w:rsidR="006618FB" w:rsidRPr="0073564C">
        <w:rPr>
          <w:rFonts w:asciiTheme="minorHAnsi" w:hAnsiTheme="minorHAnsi" w:cstheme="minorHAnsi"/>
          <w:sz w:val="22"/>
          <w:szCs w:val="22"/>
        </w:rPr>
        <w:t xml:space="preserve"> are particularly crucial if an</w:t>
      </w:r>
      <w:r w:rsidR="004F706C" w:rsidRPr="0073564C">
        <w:rPr>
          <w:rFonts w:asciiTheme="minorHAnsi" w:hAnsiTheme="minorHAnsi" w:cstheme="minorHAnsi"/>
          <w:sz w:val="22"/>
          <w:szCs w:val="22"/>
        </w:rPr>
        <w:t xml:space="preserve"> entity is making any </w:t>
      </w:r>
      <w:r w:rsidR="006618FB" w:rsidRPr="0073564C">
        <w:rPr>
          <w:rFonts w:asciiTheme="minorHAnsi" w:hAnsiTheme="minorHAnsi" w:cstheme="minorHAnsi"/>
          <w:sz w:val="22"/>
          <w:szCs w:val="22"/>
        </w:rPr>
        <w:t xml:space="preserve">written </w:t>
      </w:r>
      <w:r w:rsidR="004F706C" w:rsidRPr="0073564C">
        <w:rPr>
          <w:rFonts w:asciiTheme="minorHAnsi" w:hAnsiTheme="minorHAnsi" w:cstheme="minorHAnsi"/>
          <w:sz w:val="22"/>
          <w:szCs w:val="22"/>
        </w:rPr>
        <w:t xml:space="preserve">representations </w:t>
      </w:r>
      <w:r w:rsidR="006618FB" w:rsidRPr="0073564C">
        <w:rPr>
          <w:rFonts w:asciiTheme="minorHAnsi" w:hAnsiTheme="minorHAnsi" w:cstheme="minorHAnsi"/>
          <w:sz w:val="22"/>
          <w:szCs w:val="22"/>
        </w:rPr>
        <w:t>regarding a</w:t>
      </w:r>
      <w:r w:rsidR="004F706C" w:rsidRPr="0073564C">
        <w:rPr>
          <w:rFonts w:asciiTheme="minorHAnsi" w:hAnsiTheme="minorHAnsi" w:cstheme="minorHAnsi"/>
          <w:sz w:val="22"/>
          <w:szCs w:val="22"/>
        </w:rPr>
        <w:t xml:space="preserve"> contract being properly authorized.</w:t>
      </w:r>
    </w:p>
    <w:p w:rsidR="004F706C" w:rsidRPr="0073564C" w:rsidRDefault="004F706C">
      <w:pPr>
        <w:rPr>
          <w:rFonts w:asciiTheme="minorHAnsi" w:hAnsiTheme="minorHAnsi" w:cstheme="minorHAnsi"/>
          <w:sz w:val="22"/>
          <w:szCs w:val="22"/>
        </w:rPr>
      </w:pPr>
    </w:p>
    <w:p w:rsidR="00F54058" w:rsidRPr="0073564C" w:rsidRDefault="000E1899"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Making Common Indemnification Mistakes</w:t>
      </w:r>
      <w:r w:rsidR="00A02FC3" w:rsidRPr="0073564C">
        <w:rPr>
          <w:rFonts w:asciiTheme="minorHAnsi" w:hAnsiTheme="minorHAnsi" w:cstheme="minorHAnsi"/>
          <w:sz w:val="22"/>
          <w:szCs w:val="22"/>
        </w:rPr>
        <w:t xml:space="preserve">. </w:t>
      </w:r>
    </w:p>
    <w:p w:rsidR="00F54058" w:rsidRPr="0073564C" w:rsidRDefault="00F54058" w:rsidP="00F54058">
      <w:pPr>
        <w:jc w:val="both"/>
        <w:rPr>
          <w:rFonts w:asciiTheme="minorHAnsi" w:hAnsiTheme="minorHAnsi" w:cstheme="minorHAnsi"/>
          <w:sz w:val="22"/>
          <w:szCs w:val="22"/>
        </w:rPr>
      </w:pPr>
    </w:p>
    <w:p w:rsidR="000E1899" w:rsidRPr="0073564C" w:rsidRDefault="00F54058" w:rsidP="00F54058">
      <w:pPr>
        <w:ind w:firstLine="360"/>
        <w:jc w:val="both"/>
        <w:rPr>
          <w:rFonts w:asciiTheme="minorHAnsi" w:hAnsiTheme="minorHAnsi" w:cstheme="minorHAnsi"/>
          <w:sz w:val="22"/>
          <w:szCs w:val="22"/>
        </w:rPr>
      </w:pPr>
      <w:r w:rsidRPr="0073564C">
        <w:rPr>
          <w:rFonts w:asciiTheme="minorHAnsi" w:hAnsiTheme="minorHAnsi" w:cstheme="minorHAnsi"/>
          <w:sz w:val="22"/>
          <w:szCs w:val="22"/>
        </w:rPr>
        <w:t>Indem</w:t>
      </w:r>
      <w:r w:rsidR="009C5B1B" w:rsidRPr="0073564C">
        <w:rPr>
          <w:rFonts w:asciiTheme="minorHAnsi" w:hAnsiTheme="minorHAnsi" w:cstheme="minorHAnsi"/>
          <w:sz w:val="22"/>
          <w:szCs w:val="22"/>
        </w:rPr>
        <w:t xml:space="preserve">nification provisions </w:t>
      </w:r>
      <w:r w:rsidR="004B3B4B" w:rsidRPr="0073564C">
        <w:rPr>
          <w:rFonts w:asciiTheme="minorHAnsi" w:hAnsiTheme="minorHAnsi" w:cstheme="minorHAnsi"/>
          <w:sz w:val="22"/>
          <w:szCs w:val="22"/>
        </w:rPr>
        <w:t>give rise to numerous questions</w:t>
      </w:r>
      <w:r w:rsidR="00A02FC3" w:rsidRPr="0073564C">
        <w:rPr>
          <w:rFonts w:asciiTheme="minorHAnsi" w:hAnsiTheme="minorHAnsi" w:cstheme="minorHAnsi"/>
          <w:sz w:val="22"/>
          <w:szCs w:val="22"/>
        </w:rPr>
        <w:t>, outlined below,</w:t>
      </w:r>
      <w:r w:rsidR="004B3B4B" w:rsidRPr="0073564C">
        <w:rPr>
          <w:rFonts w:asciiTheme="minorHAnsi" w:hAnsiTheme="minorHAnsi" w:cstheme="minorHAnsi"/>
          <w:sz w:val="22"/>
          <w:szCs w:val="22"/>
        </w:rPr>
        <w:t xml:space="preserve"> that should be considered when reviewing a contract:</w:t>
      </w:r>
    </w:p>
    <w:p w:rsidR="004D3D5D" w:rsidRPr="0073564C" w:rsidRDefault="004B3B4B" w:rsidP="002B707C">
      <w:pPr>
        <w:pStyle w:val="ListParagraph"/>
        <w:numPr>
          <w:ilvl w:val="0"/>
          <w:numId w:val="38"/>
        </w:numPr>
        <w:spacing w:before="120"/>
        <w:contextualSpacing w:val="0"/>
        <w:jc w:val="both"/>
        <w:rPr>
          <w:rFonts w:asciiTheme="minorHAnsi" w:hAnsiTheme="minorHAnsi" w:cstheme="minorHAnsi"/>
          <w:sz w:val="22"/>
          <w:szCs w:val="22"/>
          <w:u w:val="single"/>
        </w:rPr>
      </w:pPr>
      <w:r w:rsidRPr="0073564C">
        <w:rPr>
          <w:rFonts w:asciiTheme="minorHAnsi" w:hAnsiTheme="minorHAnsi" w:cstheme="minorHAnsi"/>
          <w:i/>
          <w:sz w:val="22"/>
          <w:szCs w:val="22"/>
        </w:rPr>
        <w:t>Does the indemnification provision use the language “inde</w:t>
      </w:r>
      <w:r w:rsidR="00132F16" w:rsidRPr="0073564C">
        <w:rPr>
          <w:rFonts w:asciiTheme="minorHAnsi" w:hAnsiTheme="minorHAnsi" w:cstheme="minorHAnsi"/>
          <w:i/>
          <w:sz w:val="22"/>
          <w:szCs w:val="22"/>
        </w:rPr>
        <w:t>mnif</w:t>
      </w:r>
      <w:r w:rsidRPr="0073564C">
        <w:rPr>
          <w:rFonts w:asciiTheme="minorHAnsi" w:hAnsiTheme="minorHAnsi" w:cstheme="minorHAnsi"/>
          <w:i/>
          <w:sz w:val="22"/>
          <w:szCs w:val="22"/>
        </w:rPr>
        <w:t>y, defend and hold harmless”?</w:t>
      </w:r>
      <w:r w:rsidR="00132F16" w:rsidRPr="0073564C">
        <w:rPr>
          <w:rFonts w:asciiTheme="minorHAnsi" w:hAnsiTheme="minorHAnsi" w:cstheme="minorHAnsi"/>
          <w:sz w:val="22"/>
          <w:szCs w:val="22"/>
        </w:rPr>
        <w:t xml:space="preserve">  Many contracts </w:t>
      </w:r>
      <w:r w:rsidR="00A02FC3" w:rsidRPr="0073564C">
        <w:rPr>
          <w:rFonts w:asciiTheme="minorHAnsi" w:hAnsiTheme="minorHAnsi" w:cstheme="minorHAnsi"/>
          <w:sz w:val="22"/>
          <w:szCs w:val="22"/>
        </w:rPr>
        <w:t>u</w:t>
      </w:r>
      <w:r w:rsidR="00092140" w:rsidRPr="0073564C">
        <w:rPr>
          <w:rFonts w:asciiTheme="minorHAnsi" w:hAnsiTheme="minorHAnsi" w:cstheme="minorHAnsi"/>
          <w:sz w:val="22"/>
          <w:szCs w:val="22"/>
        </w:rPr>
        <w:t>se just</w:t>
      </w:r>
      <w:r w:rsidR="00132F16" w:rsidRPr="0073564C">
        <w:rPr>
          <w:rFonts w:asciiTheme="minorHAnsi" w:hAnsiTheme="minorHAnsi" w:cstheme="minorHAnsi"/>
          <w:sz w:val="22"/>
          <w:szCs w:val="22"/>
        </w:rPr>
        <w:t xml:space="preserve"> the word “indemnify” when the parties </w:t>
      </w:r>
      <w:r w:rsidR="00A02FC3" w:rsidRPr="0073564C">
        <w:rPr>
          <w:rFonts w:asciiTheme="minorHAnsi" w:hAnsiTheme="minorHAnsi" w:cstheme="minorHAnsi"/>
          <w:sz w:val="22"/>
          <w:szCs w:val="22"/>
        </w:rPr>
        <w:t xml:space="preserve">actually </w:t>
      </w:r>
      <w:r w:rsidR="00132F16" w:rsidRPr="0073564C">
        <w:rPr>
          <w:rFonts w:asciiTheme="minorHAnsi" w:hAnsiTheme="minorHAnsi" w:cstheme="minorHAnsi"/>
          <w:sz w:val="22"/>
          <w:szCs w:val="22"/>
        </w:rPr>
        <w:t xml:space="preserve">intend the protection </w:t>
      </w:r>
      <w:r w:rsidR="0078473D" w:rsidRPr="0073564C">
        <w:rPr>
          <w:rFonts w:asciiTheme="minorHAnsi" w:hAnsiTheme="minorHAnsi" w:cstheme="minorHAnsi"/>
          <w:sz w:val="22"/>
          <w:szCs w:val="22"/>
        </w:rPr>
        <w:t>afforded by the</w:t>
      </w:r>
      <w:r w:rsidR="00132F16" w:rsidRPr="0073564C">
        <w:rPr>
          <w:rFonts w:asciiTheme="minorHAnsi" w:hAnsiTheme="minorHAnsi" w:cstheme="minorHAnsi"/>
          <w:sz w:val="22"/>
          <w:szCs w:val="22"/>
        </w:rPr>
        <w:t xml:space="preserve"> phrase “indemnify, defend and hold harmless”.  </w:t>
      </w:r>
      <w:r w:rsidR="0068232B" w:rsidRPr="0073564C">
        <w:rPr>
          <w:rFonts w:asciiTheme="minorHAnsi" w:hAnsiTheme="minorHAnsi" w:cstheme="minorHAnsi"/>
          <w:sz w:val="22"/>
          <w:szCs w:val="22"/>
        </w:rPr>
        <w:t xml:space="preserve">“Indemnify” is an obligation to </w:t>
      </w:r>
      <w:r w:rsidR="003F7B0D" w:rsidRPr="0073564C">
        <w:rPr>
          <w:rFonts w:asciiTheme="minorHAnsi" w:hAnsiTheme="minorHAnsi" w:cstheme="minorHAnsi"/>
          <w:sz w:val="22"/>
          <w:szCs w:val="22"/>
        </w:rPr>
        <w:t>protect another</w:t>
      </w:r>
      <w:r w:rsidR="0068232B" w:rsidRPr="0073564C">
        <w:rPr>
          <w:rFonts w:asciiTheme="minorHAnsi" w:hAnsiTheme="minorHAnsi" w:cstheme="minorHAnsi"/>
          <w:sz w:val="22"/>
          <w:szCs w:val="22"/>
        </w:rPr>
        <w:t xml:space="preserve"> from a certain event</w:t>
      </w:r>
      <w:r w:rsidR="003F7B0D" w:rsidRPr="0073564C">
        <w:rPr>
          <w:rFonts w:asciiTheme="minorHAnsi" w:hAnsiTheme="minorHAnsi" w:cstheme="minorHAnsi"/>
          <w:sz w:val="22"/>
          <w:szCs w:val="22"/>
        </w:rPr>
        <w:t xml:space="preserve"> or to reimburse another for a loss.  </w:t>
      </w:r>
      <w:r w:rsidR="0068232B" w:rsidRPr="0073564C">
        <w:rPr>
          <w:rFonts w:asciiTheme="minorHAnsi" w:hAnsiTheme="minorHAnsi" w:cstheme="minorHAnsi"/>
          <w:sz w:val="22"/>
          <w:szCs w:val="22"/>
        </w:rPr>
        <w:t xml:space="preserve">“Defend” obligates the indemnifying party to defend against third party </w:t>
      </w:r>
      <w:r w:rsidR="004D3D5D" w:rsidRPr="0073564C">
        <w:rPr>
          <w:rFonts w:asciiTheme="minorHAnsi" w:hAnsiTheme="minorHAnsi" w:cstheme="minorHAnsi"/>
          <w:sz w:val="22"/>
          <w:szCs w:val="22"/>
        </w:rPr>
        <w:t>claims</w:t>
      </w:r>
      <w:r w:rsidR="00092140" w:rsidRPr="0073564C">
        <w:rPr>
          <w:rFonts w:asciiTheme="minorHAnsi" w:hAnsiTheme="minorHAnsi" w:cstheme="minorHAnsi"/>
          <w:sz w:val="22"/>
          <w:szCs w:val="22"/>
        </w:rPr>
        <w:t xml:space="preserve"> (and cover the defense cost)</w:t>
      </w:r>
      <w:r w:rsidR="004D3D5D" w:rsidRPr="0073564C">
        <w:rPr>
          <w:rFonts w:asciiTheme="minorHAnsi" w:hAnsiTheme="minorHAnsi" w:cstheme="minorHAnsi"/>
          <w:sz w:val="22"/>
          <w:szCs w:val="22"/>
        </w:rPr>
        <w:t>,</w:t>
      </w:r>
      <w:r w:rsidR="0068232B" w:rsidRPr="0073564C">
        <w:rPr>
          <w:rFonts w:asciiTheme="minorHAnsi" w:hAnsiTheme="minorHAnsi" w:cstheme="minorHAnsi"/>
          <w:sz w:val="22"/>
          <w:szCs w:val="22"/>
        </w:rPr>
        <w:t xml:space="preserve"> even if the claim </w:t>
      </w:r>
      <w:r w:rsidR="004D3D5D" w:rsidRPr="0073564C">
        <w:rPr>
          <w:rFonts w:asciiTheme="minorHAnsi" w:hAnsiTheme="minorHAnsi" w:cstheme="minorHAnsi"/>
          <w:sz w:val="22"/>
          <w:szCs w:val="22"/>
        </w:rPr>
        <w:t xml:space="preserve">itself may not have merit.  </w:t>
      </w:r>
      <w:r w:rsidR="0068232B" w:rsidRPr="0073564C">
        <w:rPr>
          <w:rFonts w:asciiTheme="minorHAnsi" w:hAnsiTheme="minorHAnsi" w:cstheme="minorHAnsi"/>
          <w:sz w:val="22"/>
          <w:szCs w:val="22"/>
        </w:rPr>
        <w:t xml:space="preserve">“Hold harmless” is seen </w:t>
      </w:r>
      <w:r w:rsidR="004D3D5D" w:rsidRPr="0073564C">
        <w:rPr>
          <w:rFonts w:asciiTheme="minorHAnsi" w:hAnsiTheme="minorHAnsi" w:cstheme="minorHAnsi"/>
          <w:sz w:val="22"/>
          <w:szCs w:val="22"/>
        </w:rPr>
        <w:t xml:space="preserve">by </w:t>
      </w:r>
      <w:r w:rsidR="0078473D" w:rsidRPr="0073564C">
        <w:rPr>
          <w:rFonts w:asciiTheme="minorHAnsi" w:hAnsiTheme="minorHAnsi" w:cstheme="minorHAnsi"/>
          <w:sz w:val="22"/>
          <w:szCs w:val="22"/>
        </w:rPr>
        <w:t xml:space="preserve">certain </w:t>
      </w:r>
      <w:r w:rsidR="004D3D5D" w:rsidRPr="0073564C">
        <w:rPr>
          <w:rFonts w:asciiTheme="minorHAnsi" w:hAnsiTheme="minorHAnsi" w:cstheme="minorHAnsi"/>
          <w:sz w:val="22"/>
          <w:szCs w:val="22"/>
        </w:rPr>
        <w:t>pract</w:t>
      </w:r>
      <w:r w:rsidR="0078473D" w:rsidRPr="0073564C">
        <w:rPr>
          <w:rFonts w:asciiTheme="minorHAnsi" w:hAnsiTheme="minorHAnsi" w:cstheme="minorHAnsi"/>
          <w:sz w:val="22"/>
          <w:szCs w:val="22"/>
        </w:rPr>
        <w:t>it</w:t>
      </w:r>
      <w:r w:rsidR="004D3D5D" w:rsidRPr="0073564C">
        <w:rPr>
          <w:rFonts w:asciiTheme="minorHAnsi" w:hAnsiTheme="minorHAnsi" w:cstheme="minorHAnsi"/>
          <w:sz w:val="22"/>
          <w:szCs w:val="22"/>
        </w:rPr>
        <w:t xml:space="preserve">ioners </w:t>
      </w:r>
      <w:r w:rsidR="0068232B" w:rsidRPr="0073564C">
        <w:rPr>
          <w:rFonts w:asciiTheme="minorHAnsi" w:hAnsiTheme="minorHAnsi" w:cstheme="minorHAnsi"/>
          <w:sz w:val="22"/>
          <w:szCs w:val="22"/>
        </w:rPr>
        <w:t>as synonymous with</w:t>
      </w:r>
      <w:r w:rsidR="0078473D" w:rsidRPr="0073564C">
        <w:rPr>
          <w:rFonts w:asciiTheme="minorHAnsi" w:hAnsiTheme="minorHAnsi" w:cstheme="minorHAnsi"/>
          <w:sz w:val="22"/>
          <w:szCs w:val="22"/>
        </w:rPr>
        <w:t xml:space="preserve"> </w:t>
      </w:r>
      <w:r w:rsidR="00092140" w:rsidRPr="0073564C">
        <w:rPr>
          <w:rFonts w:asciiTheme="minorHAnsi" w:hAnsiTheme="minorHAnsi" w:cstheme="minorHAnsi"/>
          <w:sz w:val="22"/>
          <w:szCs w:val="22"/>
        </w:rPr>
        <w:t>“</w:t>
      </w:r>
      <w:r w:rsidR="0068232B" w:rsidRPr="0073564C">
        <w:rPr>
          <w:rFonts w:asciiTheme="minorHAnsi" w:hAnsiTheme="minorHAnsi" w:cstheme="minorHAnsi"/>
          <w:sz w:val="22"/>
          <w:szCs w:val="22"/>
        </w:rPr>
        <w:t>indemnify</w:t>
      </w:r>
      <w:r w:rsidR="00092140" w:rsidRPr="0073564C">
        <w:rPr>
          <w:rFonts w:asciiTheme="minorHAnsi" w:hAnsiTheme="minorHAnsi" w:cstheme="minorHAnsi"/>
          <w:sz w:val="22"/>
          <w:szCs w:val="22"/>
        </w:rPr>
        <w:t>”</w:t>
      </w:r>
      <w:r w:rsidR="0068232B" w:rsidRPr="0073564C">
        <w:rPr>
          <w:rFonts w:asciiTheme="minorHAnsi" w:hAnsiTheme="minorHAnsi" w:cstheme="minorHAnsi"/>
          <w:sz w:val="22"/>
          <w:szCs w:val="22"/>
        </w:rPr>
        <w:t>, but other</w:t>
      </w:r>
      <w:r w:rsidR="004D3D5D" w:rsidRPr="0073564C">
        <w:rPr>
          <w:rFonts w:asciiTheme="minorHAnsi" w:hAnsiTheme="minorHAnsi" w:cstheme="minorHAnsi"/>
          <w:sz w:val="22"/>
          <w:szCs w:val="22"/>
        </w:rPr>
        <w:t>s</w:t>
      </w:r>
      <w:r w:rsidR="0068232B" w:rsidRPr="0073564C">
        <w:rPr>
          <w:rFonts w:asciiTheme="minorHAnsi" w:hAnsiTheme="minorHAnsi" w:cstheme="minorHAnsi"/>
          <w:sz w:val="22"/>
          <w:szCs w:val="22"/>
        </w:rPr>
        <w:t xml:space="preserve"> </w:t>
      </w:r>
      <w:r w:rsidR="0078473D" w:rsidRPr="0073564C">
        <w:rPr>
          <w:rFonts w:asciiTheme="minorHAnsi" w:hAnsiTheme="minorHAnsi" w:cstheme="minorHAnsi"/>
          <w:sz w:val="22"/>
          <w:szCs w:val="22"/>
        </w:rPr>
        <w:t>interpret it to include</w:t>
      </w:r>
      <w:r w:rsidR="0068232B" w:rsidRPr="0073564C">
        <w:rPr>
          <w:rFonts w:asciiTheme="minorHAnsi" w:hAnsiTheme="minorHAnsi" w:cstheme="minorHAnsi"/>
          <w:sz w:val="22"/>
          <w:szCs w:val="22"/>
        </w:rPr>
        <w:t xml:space="preserve"> a release by t</w:t>
      </w:r>
      <w:r w:rsidR="0078473D" w:rsidRPr="0073564C">
        <w:rPr>
          <w:rFonts w:asciiTheme="minorHAnsi" w:hAnsiTheme="minorHAnsi" w:cstheme="minorHAnsi"/>
          <w:sz w:val="22"/>
          <w:szCs w:val="22"/>
        </w:rPr>
        <w:t xml:space="preserve">he indemnifying party and/or protection </w:t>
      </w:r>
      <w:r w:rsidR="0068232B" w:rsidRPr="0073564C">
        <w:rPr>
          <w:rFonts w:asciiTheme="minorHAnsi" w:hAnsiTheme="minorHAnsi" w:cstheme="minorHAnsi"/>
          <w:sz w:val="22"/>
          <w:szCs w:val="22"/>
        </w:rPr>
        <w:t xml:space="preserve">against </w:t>
      </w:r>
      <w:r w:rsidR="00D35953" w:rsidRPr="0073564C">
        <w:rPr>
          <w:rFonts w:asciiTheme="minorHAnsi" w:hAnsiTheme="minorHAnsi" w:cstheme="minorHAnsi"/>
          <w:sz w:val="22"/>
          <w:szCs w:val="22"/>
        </w:rPr>
        <w:t xml:space="preserve">liabilities and </w:t>
      </w:r>
      <w:r w:rsidR="0068232B" w:rsidRPr="0073564C">
        <w:rPr>
          <w:rFonts w:asciiTheme="minorHAnsi" w:hAnsiTheme="minorHAnsi" w:cstheme="minorHAnsi"/>
          <w:sz w:val="22"/>
          <w:szCs w:val="22"/>
        </w:rPr>
        <w:t xml:space="preserve">the risk of loss, </w:t>
      </w:r>
      <w:r w:rsidR="00092140" w:rsidRPr="0073564C">
        <w:rPr>
          <w:rFonts w:asciiTheme="minorHAnsi" w:hAnsiTheme="minorHAnsi" w:cstheme="minorHAnsi"/>
          <w:sz w:val="22"/>
          <w:szCs w:val="22"/>
        </w:rPr>
        <w:t>rather than</w:t>
      </w:r>
      <w:r w:rsidR="0068232B" w:rsidRPr="0073564C">
        <w:rPr>
          <w:rFonts w:asciiTheme="minorHAnsi" w:hAnsiTheme="minorHAnsi" w:cstheme="minorHAnsi"/>
          <w:sz w:val="22"/>
          <w:szCs w:val="22"/>
        </w:rPr>
        <w:t xml:space="preserve"> just the loss itself.</w:t>
      </w:r>
    </w:p>
    <w:p w:rsidR="005B7474" w:rsidRPr="0073564C" w:rsidRDefault="004D3D5D" w:rsidP="0078473D">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Are</w:t>
      </w:r>
      <w:r w:rsidR="005B7474" w:rsidRPr="0073564C">
        <w:rPr>
          <w:rFonts w:asciiTheme="minorHAnsi" w:hAnsiTheme="minorHAnsi" w:cstheme="minorHAnsi"/>
          <w:i/>
          <w:sz w:val="22"/>
          <w:szCs w:val="22"/>
        </w:rPr>
        <w:t xml:space="preserve"> direct c</w:t>
      </w:r>
      <w:r w:rsidR="0068232B" w:rsidRPr="0073564C">
        <w:rPr>
          <w:rFonts w:asciiTheme="minorHAnsi" w:hAnsiTheme="minorHAnsi" w:cstheme="minorHAnsi"/>
          <w:i/>
          <w:sz w:val="22"/>
          <w:szCs w:val="22"/>
        </w:rPr>
        <w:t xml:space="preserve">laims </w:t>
      </w:r>
      <w:r w:rsidRPr="0073564C">
        <w:rPr>
          <w:rFonts w:asciiTheme="minorHAnsi" w:hAnsiTheme="minorHAnsi" w:cstheme="minorHAnsi"/>
          <w:i/>
          <w:sz w:val="22"/>
          <w:szCs w:val="22"/>
        </w:rPr>
        <w:t>intended to be c</w:t>
      </w:r>
      <w:r w:rsidR="0068232B" w:rsidRPr="0073564C">
        <w:rPr>
          <w:rFonts w:asciiTheme="minorHAnsi" w:hAnsiTheme="minorHAnsi" w:cstheme="minorHAnsi"/>
          <w:i/>
          <w:sz w:val="22"/>
          <w:szCs w:val="22"/>
        </w:rPr>
        <w:t>overed</w:t>
      </w:r>
      <w:r w:rsidR="005B7474" w:rsidRPr="0073564C">
        <w:rPr>
          <w:rFonts w:asciiTheme="minorHAnsi" w:hAnsiTheme="minorHAnsi" w:cstheme="minorHAnsi"/>
          <w:i/>
          <w:sz w:val="22"/>
          <w:szCs w:val="22"/>
        </w:rPr>
        <w:t>?</w:t>
      </w:r>
      <w:r w:rsidRPr="0073564C">
        <w:rPr>
          <w:rFonts w:asciiTheme="minorHAnsi" w:hAnsiTheme="minorHAnsi" w:cstheme="minorHAnsi"/>
          <w:sz w:val="22"/>
          <w:szCs w:val="22"/>
        </w:rPr>
        <w:t xml:space="preserve">  In general, the contract should </w:t>
      </w:r>
      <w:r w:rsidR="0068232B" w:rsidRPr="0073564C">
        <w:rPr>
          <w:rFonts w:asciiTheme="minorHAnsi" w:hAnsiTheme="minorHAnsi" w:cstheme="minorHAnsi"/>
          <w:sz w:val="22"/>
          <w:szCs w:val="22"/>
        </w:rPr>
        <w:t xml:space="preserve">specify that direct claims are subject to the indemnification provision if </w:t>
      </w:r>
      <w:r w:rsidRPr="0073564C">
        <w:rPr>
          <w:rFonts w:asciiTheme="minorHAnsi" w:hAnsiTheme="minorHAnsi" w:cstheme="minorHAnsi"/>
          <w:sz w:val="22"/>
          <w:szCs w:val="22"/>
        </w:rPr>
        <w:t>the parties intend for</w:t>
      </w:r>
      <w:r w:rsidR="0068232B" w:rsidRPr="0073564C">
        <w:rPr>
          <w:rFonts w:asciiTheme="minorHAnsi" w:hAnsiTheme="minorHAnsi" w:cstheme="minorHAnsi"/>
          <w:sz w:val="22"/>
          <w:szCs w:val="22"/>
        </w:rPr>
        <w:t xml:space="preserve"> them to be covered</w:t>
      </w:r>
      <w:r w:rsidR="0074740D" w:rsidRPr="0073564C">
        <w:rPr>
          <w:rFonts w:asciiTheme="minorHAnsi" w:hAnsiTheme="minorHAnsi" w:cstheme="minorHAnsi"/>
          <w:sz w:val="22"/>
          <w:szCs w:val="22"/>
        </w:rPr>
        <w:t xml:space="preserve">. </w:t>
      </w:r>
      <w:r w:rsidR="005B7474" w:rsidRPr="0073564C">
        <w:rPr>
          <w:rFonts w:asciiTheme="minorHAnsi" w:hAnsiTheme="minorHAnsi" w:cstheme="minorHAnsi"/>
          <w:sz w:val="22"/>
          <w:szCs w:val="22"/>
        </w:rPr>
        <w:t>Parties should consider</w:t>
      </w:r>
      <w:r w:rsidR="0068232B" w:rsidRPr="0073564C">
        <w:rPr>
          <w:rFonts w:asciiTheme="minorHAnsi" w:hAnsiTheme="minorHAnsi" w:cstheme="minorHAnsi"/>
          <w:sz w:val="22"/>
          <w:szCs w:val="22"/>
        </w:rPr>
        <w:t xml:space="preserve"> whether</w:t>
      </w:r>
      <w:r w:rsidR="0074740D" w:rsidRPr="0073564C">
        <w:rPr>
          <w:rFonts w:asciiTheme="minorHAnsi" w:hAnsiTheme="minorHAnsi" w:cstheme="minorHAnsi"/>
          <w:sz w:val="22"/>
          <w:szCs w:val="22"/>
        </w:rPr>
        <w:t xml:space="preserve"> they prefer that</w:t>
      </w:r>
      <w:r w:rsidR="0068232B" w:rsidRPr="0073564C">
        <w:rPr>
          <w:rFonts w:asciiTheme="minorHAnsi" w:hAnsiTheme="minorHAnsi" w:cstheme="minorHAnsi"/>
          <w:sz w:val="22"/>
          <w:szCs w:val="22"/>
        </w:rPr>
        <w:t xml:space="preserve"> </w:t>
      </w:r>
      <w:r w:rsidR="0074740D" w:rsidRPr="0073564C">
        <w:rPr>
          <w:rFonts w:asciiTheme="minorHAnsi" w:hAnsiTheme="minorHAnsi" w:cstheme="minorHAnsi"/>
          <w:sz w:val="22"/>
          <w:szCs w:val="22"/>
        </w:rPr>
        <w:t>direct claims</w:t>
      </w:r>
      <w:r w:rsidR="0068232B" w:rsidRPr="0073564C">
        <w:rPr>
          <w:rFonts w:asciiTheme="minorHAnsi" w:hAnsiTheme="minorHAnsi" w:cstheme="minorHAnsi"/>
          <w:sz w:val="22"/>
          <w:szCs w:val="22"/>
        </w:rPr>
        <w:t xml:space="preserve"> be subject to </w:t>
      </w:r>
      <w:r w:rsidR="0074740D" w:rsidRPr="0073564C">
        <w:rPr>
          <w:rFonts w:asciiTheme="minorHAnsi" w:hAnsiTheme="minorHAnsi" w:cstheme="minorHAnsi"/>
          <w:sz w:val="22"/>
          <w:szCs w:val="22"/>
        </w:rPr>
        <w:t>indemnification or if a</w:t>
      </w:r>
      <w:r w:rsidR="005B7474" w:rsidRPr="0073564C">
        <w:rPr>
          <w:rFonts w:asciiTheme="minorHAnsi" w:hAnsiTheme="minorHAnsi" w:cstheme="minorHAnsi"/>
          <w:sz w:val="22"/>
          <w:szCs w:val="22"/>
        </w:rPr>
        <w:t xml:space="preserve"> breach </w:t>
      </w:r>
      <w:r w:rsidR="005B7474" w:rsidRPr="0073564C">
        <w:rPr>
          <w:rFonts w:asciiTheme="minorHAnsi" w:hAnsiTheme="minorHAnsi" w:cstheme="minorHAnsi"/>
          <w:sz w:val="22"/>
          <w:szCs w:val="22"/>
        </w:rPr>
        <w:lastRenderedPageBreak/>
        <w:t>of contract claim</w:t>
      </w:r>
      <w:r w:rsidR="0074740D" w:rsidRPr="0073564C">
        <w:rPr>
          <w:rFonts w:asciiTheme="minorHAnsi" w:hAnsiTheme="minorHAnsi" w:cstheme="minorHAnsi"/>
          <w:sz w:val="22"/>
          <w:szCs w:val="22"/>
        </w:rPr>
        <w:t xml:space="preserve"> should be the remedy</w:t>
      </w:r>
      <w:r w:rsidR="005B7474" w:rsidRPr="0073564C">
        <w:rPr>
          <w:rFonts w:asciiTheme="minorHAnsi" w:hAnsiTheme="minorHAnsi" w:cstheme="minorHAnsi"/>
          <w:sz w:val="22"/>
          <w:szCs w:val="22"/>
        </w:rPr>
        <w:t>.</w:t>
      </w:r>
      <w:r w:rsidR="0068232B" w:rsidRPr="0073564C">
        <w:rPr>
          <w:rFonts w:asciiTheme="minorHAnsi" w:hAnsiTheme="minorHAnsi" w:cstheme="minorHAnsi"/>
          <w:sz w:val="22"/>
          <w:szCs w:val="22"/>
        </w:rPr>
        <w:t xml:space="preserve">  It may be easier to make an indemnity claim, without the necessity for a lawsuit.  </w:t>
      </w:r>
    </w:p>
    <w:p w:rsidR="00FD54FB" w:rsidRPr="0073564C" w:rsidRDefault="005B7474" w:rsidP="00A02FC3">
      <w:pPr>
        <w:pStyle w:val="ListParagraph"/>
        <w:numPr>
          <w:ilvl w:val="0"/>
          <w:numId w:val="38"/>
        </w:numPr>
        <w:spacing w:before="120"/>
        <w:contextualSpacing w:val="0"/>
        <w:jc w:val="both"/>
        <w:rPr>
          <w:rFonts w:asciiTheme="minorHAnsi" w:hAnsiTheme="minorHAnsi" w:cstheme="minorHAnsi"/>
          <w:sz w:val="22"/>
          <w:szCs w:val="22"/>
        </w:rPr>
      </w:pPr>
      <w:proofErr w:type="gramStart"/>
      <w:r w:rsidRPr="0073564C">
        <w:rPr>
          <w:rFonts w:asciiTheme="minorHAnsi" w:hAnsiTheme="minorHAnsi" w:cstheme="minorHAnsi"/>
          <w:i/>
          <w:sz w:val="22"/>
          <w:szCs w:val="22"/>
        </w:rPr>
        <w:t>Are</w:t>
      </w:r>
      <w:proofErr w:type="gramEnd"/>
      <w:r w:rsidRPr="0073564C">
        <w:rPr>
          <w:rFonts w:asciiTheme="minorHAnsi" w:hAnsiTheme="minorHAnsi" w:cstheme="minorHAnsi"/>
          <w:i/>
          <w:sz w:val="22"/>
          <w:szCs w:val="22"/>
        </w:rPr>
        <w:t xml:space="preserve"> limitation of liability provisions tailored to work with the indemnity provisions?</w:t>
      </w:r>
      <w:r w:rsidR="0068232B" w:rsidRPr="0073564C">
        <w:rPr>
          <w:rFonts w:asciiTheme="minorHAnsi" w:hAnsiTheme="minorHAnsi" w:cstheme="minorHAnsi"/>
          <w:sz w:val="22"/>
          <w:szCs w:val="22"/>
        </w:rPr>
        <w:t xml:space="preserve">  </w:t>
      </w:r>
      <w:r w:rsidRPr="0073564C">
        <w:rPr>
          <w:rFonts w:asciiTheme="minorHAnsi" w:hAnsiTheme="minorHAnsi" w:cstheme="minorHAnsi"/>
          <w:sz w:val="22"/>
          <w:szCs w:val="22"/>
        </w:rPr>
        <w:t>If the parties have</w:t>
      </w:r>
      <w:r w:rsidR="0068232B" w:rsidRPr="0073564C">
        <w:rPr>
          <w:rFonts w:asciiTheme="minorHAnsi" w:hAnsiTheme="minorHAnsi" w:cstheme="minorHAnsi"/>
          <w:sz w:val="22"/>
          <w:szCs w:val="22"/>
        </w:rPr>
        <w:t xml:space="preserve"> agreed to waive consequential </w:t>
      </w:r>
      <w:r w:rsidRPr="0073564C">
        <w:rPr>
          <w:rFonts w:asciiTheme="minorHAnsi" w:hAnsiTheme="minorHAnsi" w:cstheme="minorHAnsi"/>
          <w:sz w:val="22"/>
          <w:szCs w:val="22"/>
        </w:rPr>
        <w:t xml:space="preserve">or other types of </w:t>
      </w:r>
      <w:r w:rsidR="0068232B" w:rsidRPr="0073564C">
        <w:rPr>
          <w:rFonts w:asciiTheme="minorHAnsi" w:hAnsiTheme="minorHAnsi" w:cstheme="minorHAnsi"/>
          <w:sz w:val="22"/>
          <w:szCs w:val="22"/>
        </w:rPr>
        <w:t xml:space="preserve">damages in the agreement, </w:t>
      </w:r>
      <w:r w:rsidR="005A6732" w:rsidRPr="0073564C">
        <w:rPr>
          <w:rFonts w:asciiTheme="minorHAnsi" w:hAnsiTheme="minorHAnsi" w:cstheme="minorHAnsi"/>
          <w:sz w:val="22"/>
          <w:szCs w:val="22"/>
        </w:rPr>
        <w:t xml:space="preserve">care should be taken to consider </w:t>
      </w:r>
      <w:r w:rsidR="0068232B" w:rsidRPr="0073564C">
        <w:rPr>
          <w:rFonts w:asciiTheme="minorHAnsi" w:hAnsiTheme="minorHAnsi" w:cstheme="minorHAnsi"/>
          <w:sz w:val="22"/>
          <w:szCs w:val="22"/>
        </w:rPr>
        <w:t xml:space="preserve">whether </w:t>
      </w:r>
      <w:r w:rsidR="005A6732" w:rsidRPr="0073564C">
        <w:rPr>
          <w:rFonts w:asciiTheme="minorHAnsi" w:hAnsiTheme="minorHAnsi" w:cstheme="minorHAnsi"/>
          <w:sz w:val="22"/>
          <w:szCs w:val="22"/>
        </w:rPr>
        <w:t>those</w:t>
      </w:r>
      <w:r w:rsidR="0068232B" w:rsidRPr="0073564C">
        <w:rPr>
          <w:rFonts w:asciiTheme="minorHAnsi" w:hAnsiTheme="minorHAnsi" w:cstheme="minorHAnsi"/>
          <w:sz w:val="22"/>
          <w:szCs w:val="22"/>
        </w:rPr>
        <w:t xml:space="preserve"> waiver</w:t>
      </w:r>
      <w:r w:rsidR="005A6732" w:rsidRPr="0073564C">
        <w:rPr>
          <w:rFonts w:asciiTheme="minorHAnsi" w:hAnsiTheme="minorHAnsi" w:cstheme="minorHAnsi"/>
          <w:sz w:val="22"/>
          <w:szCs w:val="22"/>
        </w:rPr>
        <w:t>s should</w:t>
      </w:r>
      <w:r w:rsidR="0074740D" w:rsidRPr="0073564C">
        <w:rPr>
          <w:rFonts w:asciiTheme="minorHAnsi" w:hAnsiTheme="minorHAnsi" w:cstheme="minorHAnsi"/>
          <w:sz w:val="22"/>
          <w:szCs w:val="22"/>
        </w:rPr>
        <w:t xml:space="preserve"> apply to</w:t>
      </w:r>
      <w:r w:rsidR="0068232B" w:rsidRPr="0073564C">
        <w:rPr>
          <w:rFonts w:asciiTheme="minorHAnsi" w:hAnsiTheme="minorHAnsi" w:cstheme="minorHAnsi"/>
          <w:sz w:val="22"/>
          <w:szCs w:val="22"/>
        </w:rPr>
        <w:t xml:space="preserve"> indemnity of a </w:t>
      </w:r>
      <w:proofErr w:type="gramStart"/>
      <w:r w:rsidR="0068232B" w:rsidRPr="0073564C">
        <w:rPr>
          <w:rFonts w:asciiTheme="minorHAnsi" w:hAnsiTheme="minorHAnsi" w:cstheme="minorHAnsi"/>
          <w:sz w:val="22"/>
          <w:szCs w:val="22"/>
        </w:rPr>
        <w:t>third party</w:t>
      </w:r>
      <w:proofErr w:type="gramEnd"/>
      <w:r w:rsidR="0068232B" w:rsidRPr="0073564C">
        <w:rPr>
          <w:rFonts w:asciiTheme="minorHAnsi" w:hAnsiTheme="minorHAnsi" w:cstheme="minorHAnsi"/>
          <w:sz w:val="22"/>
          <w:szCs w:val="22"/>
        </w:rPr>
        <w:t xml:space="preserve"> claim where the third party has been awarded </w:t>
      </w:r>
      <w:r w:rsidR="00180BDA" w:rsidRPr="0073564C">
        <w:rPr>
          <w:rFonts w:asciiTheme="minorHAnsi" w:hAnsiTheme="minorHAnsi" w:cstheme="minorHAnsi"/>
          <w:sz w:val="22"/>
          <w:szCs w:val="22"/>
        </w:rPr>
        <w:t>amounts</w:t>
      </w:r>
      <w:r w:rsidR="0068232B" w:rsidRPr="0073564C">
        <w:rPr>
          <w:rFonts w:asciiTheme="minorHAnsi" w:hAnsiTheme="minorHAnsi" w:cstheme="minorHAnsi"/>
          <w:sz w:val="22"/>
          <w:szCs w:val="22"/>
        </w:rPr>
        <w:t xml:space="preserve"> for </w:t>
      </w:r>
      <w:r w:rsidR="005A6732" w:rsidRPr="0073564C">
        <w:rPr>
          <w:rFonts w:asciiTheme="minorHAnsi" w:hAnsiTheme="minorHAnsi" w:cstheme="minorHAnsi"/>
          <w:sz w:val="22"/>
          <w:szCs w:val="22"/>
        </w:rPr>
        <w:t xml:space="preserve">those types of </w:t>
      </w:r>
      <w:r w:rsidR="0068232B" w:rsidRPr="0073564C">
        <w:rPr>
          <w:rFonts w:asciiTheme="minorHAnsi" w:hAnsiTheme="minorHAnsi" w:cstheme="minorHAnsi"/>
          <w:sz w:val="22"/>
          <w:szCs w:val="22"/>
        </w:rPr>
        <w:t>damages.</w:t>
      </w:r>
    </w:p>
    <w:p w:rsidR="00C278D8" w:rsidRPr="0073564C" w:rsidRDefault="005A6732" w:rsidP="00180BDA">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Is the p</w:t>
      </w:r>
      <w:r w:rsidR="0068232B" w:rsidRPr="0073564C">
        <w:rPr>
          <w:rFonts w:asciiTheme="minorHAnsi" w:hAnsiTheme="minorHAnsi" w:cstheme="minorHAnsi"/>
          <w:i/>
          <w:sz w:val="22"/>
          <w:szCs w:val="22"/>
        </w:rPr>
        <w:t>rocedure</w:t>
      </w:r>
      <w:r w:rsidRPr="0073564C">
        <w:rPr>
          <w:rFonts w:asciiTheme="minorHAnsi" w:hAnsiTheme="minorHAnsi" w:cstheme="minorHAnsi"/>
          <w:i/>
          <w:sz w:val="22"/>
          <w:szCs w:val="22"/>
        </w:rPr>
        <w:t xml:space="preserve"> for bringing an indemnification claim clear?</w:t>
      </w:r>
      <w:r w:rsidR="0068232B" w:rsidRPr="0073564C">
        <w:rPr>
          <w:rFonts w:asciiTheme="minorHAnsi" w:hAnsiTheme="minorHAnsi" w:cstheme="minorHAnsi"/>
          <w:sz w:val="22"/>
          <w:szCs w:val="22"/>
        </w:rPr>
        <w:t xml:space="preserve">  </w:t>
      </w:r>
      <w:r w:rsidRPr="0073564C">
        <w:rPr>
          <w:rFonts w:asciiTheme="minorHAnsi" w:hAnsiTheme="minorHAnsi" w:cstheme="minorHAnsi"/>
          <w:sz w:val="22"/>
          <w:szCs w:val="22"/>
        </w:rPr>
        <w:t>Consider whether</w:t>
      </w:r>
      <w:r w:rsidR="0068232B" w:rsidRPr="0073564C">
        <w:rPr>
          <w:rFonts w:asciiTheme="minorHAnsi" w:hAnsiTheme="minorHAnsi" w:cstheme="minorHAnsi"/>
          <w:sz w:val="22"/>
          <w:szCs w:val="22"/>
        </w:rPr>
        <w:t xml:space="preserve"> the procedure for bringing an indemnification claim and the defense of such claim by the indemnifying party</w:t>
      </w:r>
      <w:r w:rsidRPr="0073564C">
        <w:rPr>
          <w:rFonts w:asciiTheme="minorHAnsi" w:hAnsiTheme="minorHAnsi" w:cstheme="minorHAnsi"/>
          <w:sz w:val="22"/>
          <w:szCs w:val="22"/>
        </w:rPr>
        <w:t xml:space="preserve"> is </w:t>
      </w:r>
      <w:proofErr w:type="gramStart"/>
      <w:r w:rsidRPr="0073564C">
        <w:rPr>
          <w:rFonts w:asciiTheme="minorHAnsi" w:hAnsiTheme="minorHAnsi" w:cstheme="minorHAnsi"/>
          <w:sz w:val="22"/>
          <w:szCs w:val="22"/>
        </w:rPr>
        <w:t xml:space="preserve">adequately </w:t>
      </w:r>
      <w:r w:rsidR="00112BBD" w:rsidRPr="0073564C">
        <w:rPr>
          <w:rFonts w:asciiTheme="minorHAnsi" w:hAnsiTheme="minorHAnsi" w:cstheme="minorHAnsi"/>
          <w:sz w:val="22"/>
          <w:szCs w:val="22"/>
        </w:rPr>
        <w:t>addressed</w:t>
      </w:r>
      <w:proofErr w:type="gramEnd"/>
      <w:r w:rsidR="0068232B" w:rsidRPr="0073564C">
        <w:rPr>
          <w:rFonts w:asciiTheme="minorHAnsi" w:hAnsiTheme="minorHAnsi" w:cstheme="minorHAnsi"/>
          <w:sz w:val="22"/>
          <w:szCs w:val="22"/>
        </w:rPr>
        <w:t xml:space="preserve">.  For example, is timely notice of the claim a prerequisite?  </w:t>
      </w:r>
      <w:r w:rsidRPr="0073564C">
        <w:rPr>
          <w:rFonts w:asciiTheme="minorHAnsi" w:hAnsiTheme="minorHAnsi" w:cstheme="minorHAnsi"/>
          <w:sz w:val="22"/>
          <w:szCs w:val="22"/>
        </w:rPr>
        <w:t xml:space="preserve">The parties will </w:t>
      </w:r>
      <w:proofErr w:type="gramStart"/>
      <w:r w:rsidRPr="0073564C">
        <w:rPr>
          <w:rFonts w:asciiTheme="minorHAnsi" w:hAnsiTheme="minorHAnsi" w:cstheme="minorHAnsi"/>
          <w:sz w:val="22"/>
          <w:szCs w:val="22"/>
        </w:rPr>
        <w:t>likely</w:t>
      </w:r>
      <w:r w:rsidR="0068232B" w:rsidRPr="0073564C">
        <w:rPr>
          <w:rFonts w:asciiTheme="minorHAnsi" w:hAnsiTheme="minorHAnsi" w:cstheme="minorHAnsi"/>
          <w:sz w:val="22"/>
          <w:szCs w:val="22"/>
        </w:rPr>
        <w:t xml:space="preserve"> want</w:t>
      </w:r>
      <w:proofErr w:type="gramEnd"/>
      <w:r w:rsidR="0068232B" w:rsidRPr="0073564C">
        <w:rPr>
          <w:rFonts w:asciiTheme="minorHAnsi" w:hAnsiTheme="minorHAnsi" w:cstheme="minorHAnsi"/>
          <w:sz w:val="22"/>
          <w:szCs w:val="22"/>
        </w:rPr>
        <w:t xml:space="preserve"> to balance strict requirements that might bar a claim </w:t>
      </w:r>
      <w:r w:rsidRPr="0073564C">
        <w:rPr>
          <w:rFonts w:asciiTheme="minorHAnsi" w:hAnsiTheme="minorHAnsi" w:cstheme="minorHAnsi"/>
          <w:sz w:val="22"/>
          <w:szCs w:val="22"/>
        </w:rPr>
        <w:t>versus</w:t>
      </w:r>
      <w:r w:rsidR="00935F23" w:rsidRPr="0073564C">
        <w:rPr>
          <w:rFonts w:asciiTheme="minorHAnsi" w:hAnsiTheme="minorHAnsi" w:cstheme="minorHAnsi"/>
          <w:sz w:val="22"/>
          <w:szCs w:val="22"/>
        </w:rPr>
        <w:t xml:space="preserve"> hinderin</w:t>
      </w:r>
      <w:r w:rsidR="0068232B" w:rsidRPr="0073564C">
        <w:rPr>
          <w:rFonts w:asciiTheme="minorHAnsi" w:hAnsiTheme="minorHAnsi" w:cstheme="minorHAnsi"/>
          <w:sz w:val="22"/>
          <w:szCs w:val="22"/>
        </w:rPr>
        <w:t xml:space="preserve">g the indemnifying party from mounting an adequate defense.  </w:t>
      </w:r>
      <w:r w:rsidRPr="0073564C">
        <w:rPr>
          <w:rFonts w:asciiTheme="minorHAnsi" w:hAnsiTheme="minorHAnsi" w:cstheme="minorHAnsi"/>
          <w:sz w:val="22"/>
          <w:szCs w:val="22"/>
        </w:rPr>
        <w:t>The provision should</w:t>
      </w:r>
      <w:r w:rsidR="0068232B" w:rsidRPr="0073564C">
        <w:rPr>
          <w:rFonts w:asciiTheme="minorHAnsi" w:hAnsiTheme="minorHAnsi" w:cstheme="minorHAnsi"/>
          <w:sz w:val="22"/>
          <w:szCs w:val="22"/>
        </w:rPr>
        <w:t xml:space="preserve"> specify who will be involved in the selection of counsel, when the indemnified party is entitled to have their own counsel </w:t>
      </w:r>
      <w:r w:rsidR="00092140" w:rsidRPr="0073564C">
        <w:rPr>
          <w:rFonts w:asciiTheme="minorHAnsi" w:hAnsiTheme="minorHAnsi" w:cstheme="minorHAnsi"/>
          <w:sz w:val="22"/>
          <w:szCs w:val="22"/>
        </w:rPr>
        <w:t xml:space="preserve">whose fees will be </w:t>
      </w:r>
      <w:r w:rsidR="0068232B" w:rsidRPr="0073564C">
        <w:rPr>
          <w:rFonts w:asciiTheme="minorHAnsi" w:hAnsiTheme="minorHAnsi" w:cstheme="minorHAnsi"/>
          <w:sz w:val="22"/>
          <w:szCs w:val="22"/>
        </w:rPr>
        <w:t xml:space="preserve">paid </w:t>
      </w:r>
      <w:r w:rsidR="00092140" w:rsidRPr="0073564C">
        <w:rPr>
          <w:rFonts w:asciiTheme="minorHAnsi" w:hAnsiTheme="minorHAnsi" w:cstheme="minorHAnsi"/>
          <w:sz w:val="22"/>
          <w:szCs w:val="22"/>
        </w:rPr>
        <w:t>by the indemnifying party</w:t>
      </w:r>
      <w:r w:rsidR="0068232B" w:rsidRPr="0073564C">
        <w:rPr>
          <w:rFonts w:asciiTheme="minorHAnsi" w:hAnsiTheme="minorHAnsi" w:cstheme="minorHAnsi"/>
          <w:sz w:val="22"/>
          <w:szCs w:val="22"/>
        </w:rPr>
        <w:t xml:space="preserve">, and under what circumstances settlements can be made.  </w:t>
      </w:r>
    </w:p>
    <w:p w:rsidR="00FD54FB" w:rsidRPr="0073564C" w:rsidRDefault="00D21F24" w:rsidP="00A02FC3">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Should indemnification be the sole remedy under the contract?</w:t>
      </w:r>
      <w:r w:rsidRPr="0073564C">
        <w:rPr>
          <w:rFonts w:asciiTheme="minorHAnsi" w:hAnsiTheme="minorHAnsi" w:cstheme="minorHAnsi"/>
          <w:sz w:val="22"/>
          <w:szCs w:val="22"/>
        </w:rPr>
        <w:t xml:space="preserve">  </w:t>
      </w:r>
      <w:r w:rsidR="0068232B" w:rsidRPr="0073564C">
        <w:rPr>
          <w:rFonts w:asciiTheme="minorHAnsi" w:hAnsiTheme="minorHAnsi" w:cstheme="minorHAnsi"/>
          <w:sz w:val="22"/>
          <w:szCs w:val="22"/>
        </w:rPr>
        <w:t xml:space="preserve">Depending on whether or not direct claims are covered, </w:t>
      </w:r>
      <w:r w:rsidRPr="0073564C">
        <w:rPr>
          <w:rFonts w:asciiTheme="minorHAnsi" w:hAnsiTheme="minorHAnsi" w:cstheme="minorHAnsi"/>
          <w:sz w:val="22"/>
          <w:szCs w:val="22"/>
        </w:rPr>
        <w:t>the parties should determine whether</w:t>
      </w:r>
      <w:r w:rsidR="0068232B" w:rsidRPr="0073564C">
        <w:rPr>
          <w:rFonts w:asciiTheme="minorHAnsi" w:hAnsiTheme="minorHAnsi" w:cstheme="minorHAnsi"/>
          <w:sz w:val="22"/>
          <w:szCs w:val="22"/>
        </w:rPr>
        <w:t xml:space="preserve"> indemnification </w:t>
      </w:r>
      <w:r w:rsidRPr="0073564C">
        <w:rPr>
          <w:rFonts w:asciiTheme="minorHAnsi" w:hAnsiTheme="minorHAnsi" w:cstheme="minorHAnsi"/>
          <w:sz w:val="22"/>
          <w:szCs w:val="22"/>
        </w:rPr>
        <w:t>should</w:t>
      </w:r>
      <w:r w:rsidR="0068232B" w:rsidRPr="0073564C">
        <w:rPr>
          <w:rFonts w:asciiTheme="minorHAnsi" w:hAnsiTheme="minorHAnsi" w:cstheme="minorHAnsi"/>
          <w:sz w:val="22"/>
          <w:szCs w:val="22"/>
        </w:rPr>
        <w:t xml:space="preserve"> be the</w:t>
      </w:r>
      <w:r w:rsidRPr="0073564C">
        <w:rPr>
          <w:rFonts w:asciiTheme="minorHAnsi" w:hAnsiTheme="minorHAnsi" w:cstheme="minorHAnsi"/>
          <w:sz w:val="22"/>
          <w:szCs w:val="22"/>
        </w:rPr>
        <w:t xml:space="preserve"> sole remedy under the contract.  If caps, baskets, and limitations have been carefully negotiated, the parties may want indemnification to be the sole remedy </w:t>
      </w:r>
      <w:r w:rsidR="00180BDA" w:rsidRPr="0073564C">
        <w:rPr>
          <w:rFonts w:asciiTheme="minorHAnsi" w:hAnsiTheme="minorHAnsi" w:cstheme="minorHAnsi"/>
          <w:sz w:val="22"/>
          <w:szCs w:val="22"/>
        </w:rPr>
        <w:t>to avoid</w:t>
      </w:r>
      <w:r w:rsidRPr="0073564C">
        <w:rPr>
          <w:rFonts w:asciiTheme="minorHAnsi" w:hAnsiTheme="minorHAnsi" w:cstheme="minorHAnsi"/>
          <w:sz w:val="22"/>
          <w:szCs w:val="22"/>
        </w:rPr>
        <w:t xml:space="preserve"> </w:t>
      </w:r>
      <w:r w:rsidR="00180BDA" w:rsidRPr="0073564C">
        <w:rPr>
          <w:rFonts w:asciiTheme="minorHAnsi" w:hAnsiTheme="minorHAnsi" w:cstheme="minorHAnsi"/>
          <w:sz w:val="22"/>
          <w:szCs w:val="22"/>
        </w:rPr>
        <w:t xml:space="preserve">being </w:t>
      </w:r>
      <w:r w:rsidRPr="0073564C">
        <w:rPr>
          <w:rFonts w:asciiTheme="minorHAnsi" w:hAnsiTheme="minorHAnsi" w:cstheme="minorHAnsi"/>
          <w:sz w:val="22"/>
          <w:szCs w:val="22"/>
        </w:rPr>
        <w:t>surprised by a breach of contract claim that may not be subject to the negotiated limits.</w:t>
      </w:r>
    </w:p>
    <w:p w:rsidR="00FD54FB" w:rsidRPr="0073564C" w:rsidRDefault="0035484D" w:rsidP="00A02FC3">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Are there intended third party b</w:t>
      </w:r>
      <w:r w:rsidR="0068232B" w:rsidRPr="0073564C">
        <w:rPr>
          <w:rFonts w:asciiTheme="minorHAnsi" w:hAnsiTheme="minorHAnsi" w:cstheme="minorHAnsi"/>
          <w:i/>
          <w:sz w:val="22"/>
          <w:szCs w:val="22"/>
        </w:rPr>
        <w:t>eneficiaries</w:t>
      </w:r>
      <w:r w:rsidRPr="0073564C">
        <w:rPr>
          <w:rFonts w:asciiTheme="minorHAnsi" w:hAnsiTheme="minorHAnsi" w:cstheme="minorHAnsi"/>
          <w:i/>
          <w:sz w:val="22"/>
          <w:szCs w:val="22"/>
        </w:rPr>
        <w:t>?</w:t>
      </w:r>
      <w:r w:rsidRPr="0073564C">
        <w:rPr>
          <w:rFonts w:asciiTheme="minorHAnsi" w:hAnsiTheme="minorHAnsi" w:cstheme="minorHAnsi"/>
          <w:sz w:val="22"/>
          <w:szCs w:val="22"/>
        </w:rPr>
        <w:t xml:space="preserve">  If</w:t>
      </w:r>
      <w:r w:rsidR="0068232B" w:rsidRPr="0073564C">
        <w:rPr>
          <w:rFonts w:asciiTheme="minorHAnsi" w:hAnsiTheme="minorHAnsi" w:cstheme="minorHAnsi"/>
          <w:sz w:val="22"/>
          <w:szCs w:val="22"/>
        </w:rPr>
        <w:t xml:space="preserve"> indemnification </w:t>
      </w:r>
      <w:r w:rsidR="00092140" w:rsidRPr="0073564C">
        <w:rPr>
          <w:rFonts w:asciiTheme="minorHAnsi" w:hAnsiTheme="minorHAnsi" w:cstheme="minorHAnsi"/>
          <w:sz w:val="22"/>
          <w:szCs w:val="22"/>
        </w:rPr>
        <w:t>obligations are</w:t>
      </w:r>
      <w:r w:rsidRPr="0073564C">
        <w:rPr>
          <w:rFonts w:asciiTheme="minorHAnsi" w:hAnsiTheme="minorHAnsi" w:cstheme="minorHAnsi"/>
          <w:sz w:val="22"/>
          <w:szCs w:val="22"/>
        </w:rPr>
        <w:t xml:space="preserve"> </w:t>
      </w:r>
      <w:r w:rsidR="0068232B" w:rsidRPr="0073564C">
        <w:rPr>
          <w:rFonts w:asciiTheme="minorHAnsi" w:hAnsiTheme="minorHAnsi" w:cstheme="minorHAnsi"/>
          <w:sz w:val="22"/>
          <w:szCs w:val="22"/>
        </w:rPr>
        <w:t>intended to cover third p</w:t>
      </w:r>
      <w:r w:rsidRPr="0073564C">
        <w:rPr>
          <w:rFonts w:asciiTheme="minorHAnsi" w:hAnsiTheme="minorHAnsi" w:cstheme="minorHAnsi"/>
          <w:sz w:val="22"/>
          <w:szCs w:val="22"/>
        </w:rPr>
        <w:t>arties, such as</w:t>
      </w:r>
      <w:r w:rsidR="0068232B" w:rsidRPr="0073564C">
        <w:rPr>
          <w:rFonts w:asciiTheme="minorHAnsi" w:hAnsiTheme="minorHAnsi" w:cstheme="minorHAnsi"/>
          <w:sz w:val="22"/>
          <w:szCs w:val="22"/>
        </w:rPr>
        <w:t xml:space="preserve"> directors, officers, owners o</w:t>
      </w:r>
      <w:r w:rsidR="00966D02" w:rsidRPr="0073564C">
        <w:rPr>
          <w:rFonts w:asciiTheme="minorHAnsi" w:hAnsiTheme="minorHAnsi" w:cstheme="minorHAnsi"/>
          <w:sz w:val="22"/>
          <w:szCs w:val="22"/>
        </w:rPr>
        <w:t>r employees of the parties</w:t>
      </w:r>
      <w:r w:rsidR="0068232B" w:rsidRPr="0073564C">
        <w:rPr>
          <w:rFonts w:asciiTheme="minorHAnsi" w:hAnsiTheme="minorHAnsi" w:cstheme="minorHAnsi"/>
          <w:sz w:val="22"/>
          <w:szCs w:val="22"/>
        </w:rPr>
        <w:t>, they s</w:t>
      </w:r>
      <w:r w:rsidRPr="0073564C">
        <w:rPr>
          <w:rFonts w:asciiTheme="minorHAnsi" w:hAnsiTheme="minorHAnsi" w:cstheme="minorHAnsi"/>
          <w:sz w:val="22"/>
          <w:szCs w:val="22"/>
        </w:rPr>
        <w:t>hould be specifically identified</w:t>
      </w:r>
      <w:r w:rsidR="0068232B" w:rsidRPr="0073564C">
        <w:rPr>
          <w:rFonts w:asciiTheme="minorHAnsi" w:hAnsiTheme="minorHAnsi" w:cstheme="minorHAnsi"/>
          <w:sz w:val="22"/>
          <w:szCs w:val="22"/>
        </w:rPr>
        <w:t xml:space="preserve"> as </w:t>
      </w:r>
      <w:proofErr w:type="gramStart"/>
      <w:r w:rsidR="0068232B" w:rsidRPr="0073564C">
        <w:rPr>
          <w:rFonts w:asciiTheme="minorHAnsi" w:hAnsiTheme="minorHAnsi" w:cstheme="minorHAnsi"/>
          <w:sz w:val="22"/>
          <w:szCs w:val="22"/>
        </w:rPr>
        <w:t>third party</w:t>
      </w:r>
      <w:proofErr w:type="gramEnd"/>
      <w:r w:rsidR="0068232B" w:rsidRPr="0073564C">
        <w:rPr>
          <w:rFonts w:asciiTheme="minorHAnsi" w:hAnsiTheme="minorHAnsi" w:cstheme="minorHAnsi"/>
          <w:sz w:val="22"/>
          <w:szCs w:val="22"/>
        </w:rPr>
        <w:t xml:space="preserve"> beneficiaries of the provision, or they may not be able to enforce it.</w:t>
      </w:r>
    </w:p>
    <w:p w:rsidR="00FD54FB" w:rsidRPr="0073564C" w:rsidRDefault="0035484D" w:rsidP="00A02FC3">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How long should indemnification obligations survive?</w:t>
      </w:r>
      <w:r w:rsidR="0068232B" w:rsidRPr="0073564C">
        <w:rPr>
          <w:rFonts w:asciiTheme="minorHAnsi" w:hAnsiTheme="minorHAnsi" w:cstheme="minorHAnsi"/>
          <w:i/>
          <w:sz w:val="22"/>
          <w:szCs w:val="22"/>
        </w:rPr>
        <w:t xml:space="preserve"> </w:t>
      </w:r>
      <w:r w:rsidR="0068232B" w:rsidRPr="0073564C">
        <w:rPr>
          <w:rFonts w:asciiTheme="minorHAnsi" w:hAnsiTheme="minorHAnsi" w:cstheme="minorHAnsi"/>
          <w:sz w:val="22"/>
          <w:szCs w:val="22"/>
        </w:rPr>
        <w:t xml:space="preserve"> </w:t>
      </w:r>
      <w:r w:rsidR="00180BDA" w:rsidRPr="0073564C">
        <w:rPr>
          <w:rFonts w:asciiTheme="minorHAnsi" w:hAnsiTheme="minorHAnsi" w:cstheme="minorHAnsi"/>
          <w:sz w:val="22"/>
          <w:szCs w:val="22"/>
        </w:rPr>
        <w:t>If</w:t>
      </w:r>
      <w:r w:rsidR="0068232B" w:rsidRPr="0073564C">
        <w:rPr>
          <w:rFonts w:asciiTheme="minorHAnsi" w:hAnsiTheme="minorHAnsi" w:cstheme="minorHAnsi"/>
          <w:sz w:val="22"/>
          <w:szCs w:val="22"/>
        </w:rPr>
        <w:t xml:space="preserve"> the indemnification obligation is intended to last beyond the</w:t>
      </w:r>
      <w:r w:rsidR="00180BDA" w:rsidRPr="0073564C">
        <w:rPr>
          <w:rFonts w:asciiTheme="minorHAnsi" w:hAnsiTheme="minorHAnsi" w:cstheme="minorHAnsi"/>
          <w:sz w:val="22"/>
          <w:szCs w:val="22"/>
        </w:rPr>
        <w:t xml:space="preserve"> termination of the agreement, </w:t>
      </w:r>
      <w:r w:rsidRPr="0073564C">
        <w:rPr>
          <w:rFonts w:asciiTheme="minorHAnsi" w:hAnsiTheme="minorHAnsi" w:cstheme="minorHAnsi"/>
          <w:sz w:val="22"/>
          <w:szCs w:val="22"/>
        </w:rPr>
        <w:t>the</w:t>
      </w:r>
      <w:r w:rsidR="0068232B" w:rsidRPr="0073564C">
        <w:rPr>
          <w:rFonts w:asciiTheme="minorHAnsi" w:hAnsiTheme="minorHAnsi" w:cstheme="minorHAnsi"/>
          <w:sz w:val="22"/>
          <w:szCs w:val="22"/>
        </w:rPr>
        <w:t xml:space="preserve"> termination provision </w:t>
      </w:r>
      <w:r w:rsidR="002D0968" w:rsidRPr="0073564C">
        <w:rPr>
          <w:rFonts w:asciiTheme="minorHAnsi" w:hAnsiTheme="minorHAnsi" w:cstheme="minorHAnsi"/>
          <w:sz w:val="22"/>
          <w:szCs w:val="22"/>
        </w:rPr>
        <w:t>should specify</w:t>
      </w:r>
      <w:r w:rsidR="0068232B" w:rsidRPr="0073564C">
        <w:rPr>
          <w:rFonts w:asciiTheme="minorHAnsi" w:hAnsiTheme="minorHAnsi" w:cstheme="minorHAnsi"/>
          <w:sz w:val="22"/>
          <w:szCs w:val="22"/>
        </w:rPr>
        <w:t xml:space="preserve"> that the </w:t>
      </w:r>
      <w:r w:rsidRPr="0073564C">
        <w:rPr>
          <w:rFonts w:asciiTheme="minorHAnsi" w:hAnsiTheme="minorHAnsi" w:cstheme="minorHAnsi"/>
          <w:sz w:val="22"/>
          <w:szCs w:val="22"/>
        </w:rPr>
        <w:t xml:space="preserve">indemnification </w:t>
      </w:r>
      <w:r w:rsidR="0068232B" w:rsidRPr="0073564C">
        <w:rPr>
          <w:rFonts w:asciiTheme="minorHAnsi" w:hAnsiTheme="minorHAnsi" w:cstheme="minorHAnsi"/>
          <w:sz w:val="22"/>
          <w:szCs w:val="22"/>
        </w:rPr>
        <w:t>provisions survive</w:t>
      </w:r>
      <w:r w:rsidRPr="0073564C">
        <w:rPr>
          <w:rFonts w:asciiTheme="minorHAnsi" w:hAnsiTheme="minorHAnsi" w:cstheme="minorHAnsi"/>
          <w:sz w:val="22"/>
          <w:szCs w:val="22"/>
        </w:rPr>
        <w:t>.</w:t>
      </w:r>
    </w:p>
    <w:p w:rsidR="00C94944" w:rsidRPr="0073564C" w:rsidRDefault="00C94944" w:rsidP="00C94944">
      <w:pPr>
        <w:pStyle w:val="ListParagraph"/>
        <w:spacing w:before="120"/>
        <w:contextualSpacing w:val="0"/>
        <w:jc w:val="both"/>
        <w:rPr>
          <w:rFonts w:asciiTheme="minorHAnsi" w:hAnsiTheme="minorHAnsi" w:cstheme="minorHAnsi"/>
          <w:sz w:val="22"/>
          <w:szCs w:val="22"/>
        </w:rPr>
      </w:pPr>
    </w:p>
    <w:p w:rsidR="00C94944" w:rsidRPr="0073564C" w:rsidRDefault="00C94944"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Mistakenly Waiving Consequential Damages and Limiting Liability</w:t>
      </w:r>
      <w:r w:rsidR="009A478E" w:rsidRPr="0073564C">
        <w:rPr>
          <w:rFonts w:asciiTheme="minorHAnsi" w:hAnsiTheme="minorHAnsi" w:cstheme="minorHAnsi"/>
          <w:sz w:val="22"/>
          <w:szCs w:val="22"/>
        </w:rPr>
        <w:t xml:space="preserve">. </w:t>
      </w:r>
      <w:r w:rsidRPr="0073564C">
        <w:rPr>
          <w:rFonts w:asciiTheme="minorHAnsi" w:hAnsiTheme="minorHAnsi" w:cstheme="minorHAnsi"/>
          <w:sz w:val="22"/>
          <w:szCs w:val="22"/>
        </w:rPr>
        <w:t>Parties to a commercial agreement are often quick to waive consequential damages out of concern that they will be liable for remote or speculative damages.  Waiving consequential damages, however, may not be the best solution to prevent speculative damages.  In the event parties waive consequential damages, they may eliminate their opportunity to recover damages that are often considered consequential, such as lost profits.</w:t>
      </w:r>
    </w:p>
    <w:p w:rsidR="00C94944" w:rsidRPr="0073564C" w:rsidRDefault="00C94944" w:rsidP="00C94944">
      <w:pPr>
        <w:rPr>
          <w:rFonts w:asciiTheme="minorHAnsi" w:hAnsiTheme="minorHAnsi" w:cstheme="minorHAnsi"/>
          <w:sz w:val="22"/>
          <w:szCs w:val="22"/>
        </w:rPr>
      </w:pPr>
    </w:p>
    <w:p w:rsidR="00C94944" w:rsidRPr="0073564C" w:rsidRDefault="00C94944" w:rsidP="007D7CE2">
      <w:pPr>
        <w:ind w:firstLine="540"/>
        <w:jc w:val="both"/>
        <w:rPr>
          <w:rFonts w:asciiTheme="minorHAnsi" w:hAnsiTheme="minorHAnsi" w:cstheme="minorHAnsi"/>
          <w:sz w:val="22"/>
          <w:szCs w:val="22"/>
        </w:rPr>
      </w:pPr>
      <w:r w:rsidRPr="0073564C">
        <w:rPr>
          <w:rFonts w:asciiTheme="minorHAnsi" w:hAnsiTheme="minorHAnsi" w:cstheme="minorHAnsi"/>
          <w:sz w:val="22"/>
          <w:szCs w:val="22"/>
        </w:rPr>
        <w:t xml:space="preserve">Texas courts consider direct damages to be those that flow naturally and necessarily from the wrong, while they consider consequential damages to be those that also result naturally, though not necessarily, from the wrong.  To recover consequential damages, the damages must be foreseeable and directly traceable to, and a result of, the wrongful act.  Parties should not receive compensation for damages that are so remote at the time of entering into the contract that they could not have been foreseen, regardless of any type of waiver.  Therefore, practitioners preparing commercial contracts would benefit from waiving “unforeseeable” damages instead of consequential damages.  In addition, if parties feel strongly about waiving consequential damages, they should consider carving out lost profits from such consequential damages.  With careful drafting, parties will retain the ability to </w:t>
      </w:r>
      <w:r w:rsidR="00935F23" w:rsidRPr="0073564C">
        <w:rPr>
          <w:rFonts w:asciiTheme="minorHAnsi" w:hAnsiTheme="minorHAnsi" w:cstheme="minorHAnsi"/>
          <w:sz w:val="22"/>
          <w:szCs w:val="22"/>
        </w:rPr>
        <w:t>recover</w:t>
      </w:r>
      <w:r w:rsidRPr="0073564C">
        <w:rPr>
          <w:rFonts w:asciiTheme="minorHAnsi" w:hAnsiTheme="minorHAnsi" w:cstheme="minorHAnsi"/>
          <w:sz w:val="22"/>
          <w:szCs w:val="22"/>
        </w:rPr>
        <w:t xml:space="preserve"> foreseeable consequential damages in the event one of the parties breaches the agreement.</w:t>
      </w:r>
    </w:p>
    <w:p w:rsidR="00C94944" w:rsidRPr="0073564C" w:rsidRDefault="00C94944" w:rsidP="00C94944">
      <w:pPr>
        <w:pStyle w:val="ListParagraph"/>
        <w:rPr>
          <w:rFonts w:asciiTheme="minorHAnsi" w:hAnsiTheme="minorHAnsi" w:cstheme="minorHAnsi"/>
          <w:sz w:val="22"/>
          <w:szCs w:val="22"/>
        </w:rPr>
      </w:pPr>
    </w:p>
    <w:p w:rsidR="00C94944" w:rsidRPr="0073564C" w:rsidRDefault="00C94944"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lastRenderedPageBreak/>
        <w:t>Don’t Skim Over Dispute Resolution Clauses</w:t>
      </w:r>
      <w:r w:rsidRPr="0073564C">
        <w:rPr>
          <w:rFonts w:asciiTheme="minorHAnsi" w:hAnsiTheme="minorHAnsi" w:cstheme="minorHAnsi"/>
          <w:sz w:val="22"/>
          <w:szCs w:val="22"/>
        </w:rPr>
        <w:t>. Dispute re</w:t>
      </w:r>
      <w:r w:rsidR="00935F23" w:rsidRPr="0073564C">
        <w:rPr>
          <w:rFonts w:asciiTheme="minorHAnsi" w:hAnsiTheme="minorHAnsi" w:cstheme="minorHAnsi"/>
          <w:sz w:val="22"/>
          <w:szCs w:val="22"/>
        </w:rPr>
        <w:t>solution clauses are often over</w:t>
      </w:r>
      <w:r w:rsidRPr="0073564C">
        <w:rPr>
          <w:rFonts w:asciiTheme="minorHAnsi" w:hAnsiTheme="minorHAnsi" w:cstheme="minorHAnsi"/>
          <w:sz w:val="22"/>
          <w:szCs w:val="22"/>
        </w:rPr>
        <w:t xml:space="preserve">looked, causing practical issues in the event of litigation. These clauses should be carefully </w:t>
      </w:r>
      <w:proofErr w:type="gramStart"/>
      <w:r w:rsidRPr="0073564C">
        <w:rPr>
          <w:rFonts w:asciiTheme="minorHAnsi" w:hAnsiTheme="minorHAnsi" w:cstheme="minorHAnsi"/>
          <w:sz w:val="22"/>
          <w:szCs w:val="22"/>
        </w:rPr>
        <w:t>reviewed</w:t>
      </w:r>
      <w:proofErr w:type="gramEnd"/>
      <w:r w:rsidRPr="0073564C">
        <w:rPr>
          <w:rFonts w:asciiTheme="minorHAnsi" w:hAnsiTheme="minorHAnsi" w:cstheme="minorHAnsi"/>
          <w:sz w:val="22"/>
          <w:szCs w:val="22"/>
        </w:rPr>
        <w:t xml:space="preserve"> and the following items taken into consideration:</w:t>
      </w:r>
    </w:p>
    <w:p w:rsidR="00C94944" w:rsidRPr="0073564C" w:rsidRDefault="00C94944" w:rsidP="00C94944">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Include a forum selection clause</w:t>
      </w:r>
      <w:r w:rsidRPr="0073564C">
        <w:rPr>
          <w:rFonts w:asciiTheme="minorHAnsi" w:hAnsiTheme="minorHAnsi" w:cstheme="minorHAnsi"/>
          <w:sz w:val="22"/>
          <w:szCs w:val="22"/>
        </w:rPr>
        <w:t xml:space="preserve">. Selecting a forum ensures a certain amount of predictability as to how a choice of law will be applied in the course of litigation. The lack of a forum selection clause could render a choice of law provision useless. </w:t>
      </w:r>
    </w:p>
    <w:p w:rsidR="00C94944" w:rsidRPr="0073564C" w:rsidRDefault="00C94944" w:rsidP="00C94944">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Identity and subject matter</w:t>
      </w:r>
      <w:r w:rsidRPr="0073564C">
        <w:rPr>
          <w:rFonts w:asciiTheme="minorHAnsi" w:hAnsiTheme="minorHAnsi" w:cstheme="minorHAnsi"/>
          <w:sz w:val="22"/>
          <w:szCs w:val="22"/>
        </w:rPr>
        <w:t xml:space="preserve">. When choosing the forum for a particular contract, consider whether either party is well-known in the community and would be sympathetic to a jury. If one party could be particularly sympathetic, the other party may prefer to include a waiver of jury trial in the dispute resolution clause. The complexity or controversial nature of a potential claim should also be considered. </w:t>
      </w:r>
    </w:p>
    <w:p w:rsidR="00C94944" w:rsidRPr="0073564C" w:rsidRDefault="00C94944" w:rsidP="00C94944">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 xml:space="preserve">Waivers of forum non </w:t>
      </w:r>
      <w:proofErr w:type="spellStart"/>
      <w:r w:rsidRPr="0073564C">
        <w:rPr>
          <w:rFonts w:asciiTheme="minorHAnsi" w:hAnsiTheme="minorHAnsi" w:cstheme="minorHAnsi"/>
          <w:i/>
          <w:sz w:val="22"/>
          <w:szCs w:val="22"/>
        </w:rPr>
        <w:t>conveniens</w:t>
      </w:r>
      <w:proofErr w:type="spellEnd"/>
      <w:r w:rsidRPr="0073564C">
        <w:rPr>
          <w:rFonts w:asciiTheme="minorHAnsi" w:hAnsiTheme="minorHAnsi" w:cstheme="minorHAnsi"/>
          <w:i/>
          <w:sz w:val="22"/>
          <w:szCs w:val="22"/>
        </w:rPr>
        <w:t xml:space="preserve"> and personal jurisdiction</w:t>
      </w:r>
      <w:r w:rsidRPr="0073564C">
        <w:rPr>
          <w:rFonts w:asciiTheme="minorHAnsi" w:hAnsiTheme="minorHAnsi" w:cstheme="minorHAnsi"/>
          <w:sz w:val="22"/>
          <w:szCs w:val="22"/>
        </w:rPr>
        <w:t>. These should typically be included in all contracts, but especially if, due to negotiating leverage, a party has chosen a forum that is far more convenient to it than the counterparty.</w:t>
      </w:r>
    </w:p>
    <w:p w:rsidR="00C94944" w:rsidRPr="0073564C" w:rsidRDefault="00C94944" w:rsidP="00C94944">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Carve</w:t>
      </w:r>
      <w:r w:rsidRPr="0073564C">
        <w:rPr>
          <w:rFonts w:asciiTheme="minorHAnsi" w:hAnsiTheme="minorHAnsi" w:cstheme="minorHAnsi"/>
          <w:sz w:val="22"/>
          <w:szCs w:val="22"/>
        </w:rPr>
        <w:t>-</w:t>
      </w:r>
      <w:r w:rsidRPr="0073564C">
        <w:rPr>
          <w:rFonts w:asciiTheme="minorHAnsi" w:hAnsiTheme="minorHAnsi" w:cstheme="minorHAnsi"/>
          <w:i/>
          <w:sz w:val="22"/>
          <w:szCs w:val="22"/>
        </w:rPr>
        <w:t>outs for other remedies</w:t>
      </w:r>
      <w:r w:rsidRPr="0073564C">
        <w:rPr>
          <w:rFonts w:asciiTheme="minorHAnsi" w:hAnsiTheme="minorHAnsi" w:cstheme="minorHAnsi"/>
          <w:sz w:val="22"/>
          <w:szCs w:val="22"/>
        </w:rPr>
        <w:t xml:space="preserve">. General dispute resolution clauses should be drafted such that they do not supersede other agreed remedies. </w:t>
      </w:r>
      <w:r w:rsidR="00647F2B" w:rsidRPr="0073564C">
        <w:rPr>
          <w:rFonts w:asciiTheme="minorHAnsi" w:hAnsiTheme="minorHAnsi" w:cstheme="minorHAnsi"/>
          <w:sz w:val="22"/>
          <w:szCs w:val="22"/>
        </w:rPr>
        <w:t>S</w:t>
      </w:r>
      <w:r w:rsidRPr="0073564C">
        <w:rPr>
          <w:rFonts w:asciiTheme="minorHAnsi" w:hAnsiTheme="minorHAnsi" w:cstheme="minorHAnsi"/>
          <w:sz w:val="22"/>
          <w:szCs w:val="22"/>
        </w:rPr>
        <w:t xml:space="preserve">ervice contracts often provide for specific performance as a remedy and many commercial contracts provide for audit rights. These types of specific remedies should be carved out of dispute resolution provisions. </w:t>
      </w:r>
    </w:p>
    <w:p w:rsidR="00C94944" w:rsidRPr="0073564C" w:rsidRDefault="00C94944" w:rsidP="00C94944">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Waivers of remedies</w:t>
      </w:r>
      <w:r w:rsidRPr="0073564C">
        <w:rPr>
          <w:rFonts w:asciiTheme="minorHAnsi" w:hAnsiTheme="minorHAnsi" w:cstheme="minorHAnsi"/>
          <w:sz w:val="22"/>
          <w:szCs w:val="22"/>
        </w:rPr>
        <w:t xml:space="preserve">. Dispute resolution clauses should explicitly state that a waiver of a remedy must be written, that failure to or delay in exercising a remedy is not a waiver and that each waiver is made only as to the specific purpose stated in the applicable waiver. </w:t>
      </w:r>
    </w:p>
    <w:p w:rsidR="000E1899" w:rsidRPr="0073564C" w:rsidRDefault="000E1899">
      <w:pPr>
        <w:rPr>
          <w:rFonts w:asciiTheme="minorHAnsi" w:hAnsiTheme="minorHAnsi" w:cstheme="minorHAnsi"/>
          <w:sz w:val="22"/>
          <w:szCs w:val="22"/>
        </w:rPr>
      </w:pPr>
    </w:p>
    <w:p w:rsidR="005A74A6" w:rsidRPr="0073564C" w:rsidRDefault="00DB5A17" w:rsidP="007D7CE2">
      <w:pPr>
        <w:pStyle w:val="ListParagraph"/>
        <w:numPr>
          <w:ilvl w:val="0"/>
          <w:numId w:val="39"/>
        </w:numPr>
        <w:ind w:left="0" w:firstLine="540"/>
        <w:jc w:val="both"/>
        <w:rPr>
          <w:rFonts w:asciiTheme="minorHAnsi" w:hAnsiTheme="minorHAnsi" w:cstheme="minorHAnsi"/>
          <w:sz w:val="22"/>
          <w:szCs w:val="22"/>
        </w:rPr>
      </w:pPr>
      <w:r w:rsidRPr="0073564C">
        <w:rPr>
          <w:rFonts w:asciiTheme="minorHAnsi" w:hAnsiTheme="minorHAnsi" w:cstheme="minorHAnsi"/>
          <w:sz w:val="22"/>
          <w:szCs w:val="22"/>
          <w:u w:val="single"/>
        </w:rPr>
        <w:t>Inadvertently Including (or Excluding) Post-Termination Obligations</w:t>
      </w:r>
      <w:r w:rsidR="00C67140" w:rsidRPr="0073564C">
        <w:rPr>
          <w:rFonts w:asciiTheme="minorHAnsi" w:hAnsiTheme="minorHAnsi" w:cstheme="minorHAnsi"/>
          <w:sz w:val="22"/>
          <w:szCs w:val="22"/>
        </w:rPr>
        <w:t>.</w:t>
      </w:r>
      <w:r w:rsidR="007D7CE2" w:rsidRPr="0073564C">
        <w:rPr>
          <w:rFonts w:asciiTheme="minorHAnsi" w:hAnsiTheme="minorHAnsi" w:cstheme="minorHAnsi"/>
          <w:sz w:val="22"/>
          <w:szCs w:val="22"/>
        </w:rPr>
        <w:t xml:space="preserve"> </w:t>
      </w:r>
      <w:r w:rsidR="00C67140" w:rsidRPr="0073564C">
        <w:rPr>
          <w:rFonts w:asciiTheme="minorHAnsi" w:hAnsiTheme="minorHAnsi" w:cstheme="minorHAnsi"/>
          <w:sz w:val="22"/>
          <w:szCs w:val="22"/>
        </w:rPr>
        <w:t>It is important to consider whether any provisions should survive the termination of the applicable agreement, and, if so, for what length of time.  Typical surviving provisions include representations and warranties, confidentiality provisions,</w:t>
      </w:r>
      <w:r w:rsidR="009421BF" w:rsidRPr="0073564C">
        <w:rPr>
          <w:rFonts w:asciiTheme="minorHAnsi" w:hAnsiTheme="minorHAnsi" w:cstheme="minorHAnsi"/>
          <w:sz w:val="22"/>
          <w:szCs w:val="22"/>
        </w:rPr>
        <w:t xml:space="preserve"> post-termination covenants and provisions relating to</w:t>
      </w:r>
      <w:r w:rsidR="00C67140" w:rsidRPr="0073564C">
        <w:rPr>
          <w:rFonts w:asciiTheme="minorHAnsi" w:hAnsiTheme="minorHAnsi" w:cstheme="minorHAnsi"/>
          <w:sz w:val="22"/>
          <w:szCs w:val="22"/>
        </w:rPr>
        <w:t xml:space="preserve"> non-</w:t>
      </w:r>
      <w:r w:rsidR="009421BF" w:rsidRPr="0073564C">
        <w:rPr>
          <w:rFonts w:asciiTheme="minorHAnsi" w:hAnsiTheme="minorHAnsi" w:cstheme="minorHAnsi"/>
          <w:sz w:val="22"/>
          <w:szCs w:val="22"/>
        </w:rPr>
        <w:t>competition and non-solicitation</w:t>
      </w:r>
      <w:r w:rsidR="00C67140" w:rsidRPr="0073564C">
        <w:rPr>
          <w:rFonts w:asciiTheme="minorHAnsi" w:hAnsiTheme="minorHAnsi" w:cstheme="minorHAnsi"/>
          <w:sz w:val="22"/>
          <w:szCs w:val="22"/>
        </w:rPr>
        <w:t>.  In a simple sale of goods contract, the buyer</w:t>
      </w:r>
      <w:r w:rsidR="009421BF" w:rsidRPr="0073564C">
        <w:rPr>
          <w:rFonts w:asciiTheme="minorHAnsi" w:hAnsiTheme="minorHAnsi" w:cstheme="minorHAnsi"/>
          <w:sz w:val="22"/>
          <w:szCs w:val="22"/>
        </w:rPr>
        <w:t>’s only obligation is</w:t>
      </w:r>
      <w:r w:rsidR="00C67140" w:rsidRPr="0073564C">
        <w:rPr>
          <w:rFonts w:asciiTheme="minorHAnsi" w:hAnsiTheme="minorHAnsi" w:cstheme="minorHAnsi"/>
          <w:sz w:val="22"/>
          <w:szCs w:val="22"/>
        </w:rPr>
        <w:t xml:space="preserve"> typically </w:t>
      </w:r>
      <w:r w:rsidR="009421BF" w:rsidRPr="0073564C">
        <w:rPr>
          <w:rFonts w:asciiTheme="minorHAnsi" w:hAnsiTheme="minorHAnsi" w:cstheme="minorHAnsi"/>
          <w:sz w:val="22"/>
          <w:szCs w:val="22"/>
        </w:rPr>
        <w:t xml:space="preserve">to </w:t>
      </w:r>
      <w:r w:rsidR="00C67140" w:rsidRPr="0073564C">
        <w:rPr>
          <w:rFonts w:asciiTheme="minorHAnsi" w:hAnsiTheme="minorHAnsi" w:cstheme="minorHAnsi"/>
          <w:sz w:val="22"/>
          <w:szCs w:val="22"/>
        </w:rPr>
        <w:t>make timely p</w:t>
      </w:r>
      <w:r w:rsidR="009421BF" w:rsidRPr="0073564C">
        <w:rPr>
          <w:rFonts w:asciiTheme="minorHAnsi" w:hAnsiTheme="minorHAnsi" w:cstheme="minorHAnsi"/>
          <w:sz w:val="22"/>
          <w:szCs w:val="22"/>
        </w:rPr>
        <w:t>ayment</w:t>
      </w:r>
      <w:r w:rsidR="00C67140" w:rsidRPr="0073564C">
        <w:rPr>
          <w:rFonts w:asciiTheme="minorHAnsi" w:hAnsiTheme="minorHAnsi" w:cstheme="minorHAnsi"/>
          <w:sz w:val="22"/>
          <w:szCs w:val="22"/>
        </w:rPr>
        <w:t>.  The seller can easily determine whether the buyer has breached and is likely to</w:t>
      </w:r>
      <w:r w:rsidR="009421BF" w:rsidRPr="0073564C">
        <w:rPr>
          <w:rFonts w:asciiTheme="minorHAnsi" w:hAnsiTheme="minorHAnsi" w:cstheme="minorHAnsi"/>
          <w:sz w:val="22"/>
          <w:szCs w:val="22"/>
        </w:rPr>
        <w:t xml:space="preserve"> then</w:t>
      </w:r>
      <w:r w:rsidR="00C67140" w:rsidRPr="0073564C">
        <w:rPr>
          <w:rFonts w:asciiTheme="minorHAnsi" w:hAnsiTheme="minorHAnsi" w:cstheme="minorHAnsi"/>
          <w:sz w:val="22"/>
          <w:szCs w:val="22"/>
        </w:rPr>
        <w:t xml:space="preserve"> sue the buyer for non-payment</w:t>
      </w:r>
      <w:r w:rsidR="009421BF" w:rsidRPr="0073564C">
        <w:rPr>
          <w:rFonts w:asciiTheme="minorHAnsi" w:hAnsiTheme="minorHAnsi" w:cstheme="minorHAnsi"/>
          <w:sz w:val="22"/>
          <w:szCs w:val="22"/>
        </w:rPr>
        <w:t>; however, t</w:t>
      </w:r>
      <w:r w:rsidR="00C67140" w:rsidRPr="0073564C">
        <w:rPr>
          <w:rFonts w:asciiTheme="minorHAnsi" w:hAnsiTheme="minorHAnsi" w:cstheme="minorHAnsi"/>
          <w:sz w:val="22"/>
          <w:szCs w:val="22"/>
        </w:rPr>
        <w:t>he seller’s obligations are more numerous and more complicated</w:t>
      </w:r>
      <w:r w:rsidR="00764698" w:rsidRPr="0073564C">
        <w:rPr>
          <w:rFonts w:asciiTheme="minorHAnsi" w:hAnsiTheme="minorHAnsi" w:cstheme="minorHAnsi"/>
          <w:sz w:val="22"/>
          <w:szCs w:val="22"/>
        </w:rPr>
        <w:t xml:space="preserve">. As a result, </w:t>
      </w:r>
      <w:r w:rsidR="00C67140" w:rsidRPr="0073564C">
        <w:rPr>
          <w:rFonts w:asciiTheme="minorHAnsi" w:hAnsiTheme="minorHAnsi" w:cstheme="minorHAnsi"/>
          <w:sz w:val="22"/>
          <w:szCs w:val="22"/>
        </w:rPr>
        <w:t>cert</w:t>
      </w:r>
      <w:r w:rsidR="009421BF" w:rsidRPr="0073564C">
        <w:rPr>
          <w:rFonts w:asciiTheme="minorHAnsi" w:hAnsiTheme="minorHAnsi" w:cstheme="minorHAnsi"/>
          <w:sz w:val="22"/>
          <w:szCs w:val="22"/>
        </w:rPr>
        <w:t>ain of the seller’s obligations</w:t>
      </w:r>
      <w:r w:rsidR="00764698" w:rsidRPr="0073564C">
        <w:rPr>
          <w:rFonts w:asciiTheme="minorHAnsi" w:hAnsiTheme="minorHAnsi" w:cstheme="minorHAnsi"/>
          <w:sz w:val="22"/>
          <w:szCs w:val="22"/>
        </w:rPr>
        <w:t xml:space="preserve"> should</w:t>
      </w:r>
      <w:r w:rsidR="00C67140" w:rsidRPr="0073564C">
        <w:rPr>
          <w:rFonts w:asciiTheme="minorHAnsi" w:hAnsiTheme="minorHAnsi" w:cstheme="minorHAnsi"/>
          <w:sz w:val="22"/>
          <w:szCs w:val="22"/>
        </w:rPr>
        <w:t xml:space="preserve"> survive after delivery and payment</w:t>
      </w:r>
      <w:r w:rsidR="009421BF" w:rsidRPr="0073564C">
        <w:rPr>
          <w:rFonts w:asciiTheme="minorHAnsi" w:hAnsiTheme="minorHAnsi" w:cstheme="minorHAnsi"/>
          <w:sz w:val="22"/>
          <w:szCs w:val="22"/>
        </w:rPr>
        <w:t>, especially with respect to its representations and warranties regarding the products sold</w:t>
      </w:r>
      <w:r w:rsidR="00C67140" w:rsidRPr="0073564C">
        <w:rPr>
          <w:rFonts w:asciiTheme="minorHAnsi" w:hAnsiTheme="minorHAnsi" w:cstheme="minorHAnsi"/>
          <w:sz w:val="22"/>
          <w:szCs w:val="22"/>
        </w:rPr>
        <w:t xml:space="preserve">. </w:t>
      </w:r>
      <w:r w:rsidR="00A04139" w:rsidRPr="0073564C">
        <w:rPr>
          <w:rFonts w:asciiTheme="minorHAnsi" w:hAnsiTheme="minorHAnsi" w:cstheme="minorHAnsi"/>
          <w:sz w:val="22"/>
          <w:szCs w:val="22"/>
        </w:rPr>
        <w:t>T</w:t>
      </w:r>
      <w:r w:rsidR="00764698" w:rsidRPr="0073564C">
        <w:rPr>
          <w:rFonts w:asciiTheme="minorHAnsi" w:hAnsiTheme="minorHAnsi" w:cstheme="minorHAnsi"/>
          <w:sz w:val="22"/>
          <w:szCs w:val="22"/>
        </w:rPr>
        <w:t>he duration of</w:t>
      </w:r>
      <w:r w:rsidR="00C67140" w:rsidRPr="0073564C">
        <w:rPr>
          <w:rFonts w:asciiTheme="minorHAnsi" w:hAnsiTheme="minorHAnsi" w:cstheme="minorHAnsi"/>
          <w:sz w:val="22"/>
          <w:szCs w:val="22"/>
        </w:rPr>
        <w:t xml:space="preserve"> post-termination obligations may be tied to the termination of the applicable agreement or some other event.  For example, restrictive covenants in employment agreements are often tied to termination of employment and not the termination or expiration of the employment agreement.</w:t>
      </w:r>
    </w:p>
    <w:p w:rsidR="00DB5A17" w:rsidRPr="0073564C" w:rsidRDefault="00DB5A17" w:rsidP="00DB5A17">
      <w:pPr>
        <w:rPr>
          <w:rFonts w:asciiTheme="minorHAnsi" w:hAnsiTheme="minorHAnsi" w:cstheme="minorHAnsi"/>
          <w:sz w:val="22"/>
          <w:szCs w:val="22"/>
        </w:rPr>
      </w:pPr>
    </w:p>
    <w:p w:rsidR="00C67140" w:rsidRPr="0073564C" w:rsidRDefault="004F706C" w:rsidP="00DF462D">
      <w:pPr>
        <w:pStyle w:val="ListParagraph"/>
        <w:numPr>
          <w:ilvl w:val="0"/>
          <w:numId w:val="39"/>
        </w:numPr>
        <w:ind w:left="0" w:firstLine="450"/>
        <w:jc w:val="both"/>
        <w:rPr>
          <w:rFonts w:asciiTheme="minorHAnsi" w:hAnsiTheme="minorHAnsi" w:cstheme="minorHAnsi"/>
          <w:sz w:val="22"/>
          <w:szCs w:val="22"/>
        </w:rPr>
      </w:pPr>
      <w:r w:rsidRPr="0073564C">
        <w:rPr>
          <w:rFonts w:asciiTheme="minorHAnsi" w:hAnsiTheme="minorHAnsi" w:cstheme="minorHAnsi"/>
          <w:sz w:val="22"/>
          <w:szCs w:val="22"/>
          <w:u w:val="single"/>
        </w:rPr>
        <w:t>Boilerplate Provision Traps</w:t>
      </w:r>
      <w:r w:rsidR="00C67140" w:rsidRPr="0073564C">
        <w:rPr>
          <w:rFonts w:asciiTheme="minorHAnsi" w:hAnsiTheme="minorHAnsi" w:cstheme="minorHAnsi"/>
          <w:sz w:val="22"/>
          <w:szCs w:val="22"/>
        </w:rPr>
        <w:t xml:space="preserve">. While </w:t>
      </w:r>
      <w:proofErr w:type="gramStart"/>
      <w:r w:rsidR="00C67140" w:rsidRPr="0073564C">
        <w:rPr>
          <w:rFonts w:asciiTheme="minorHAnsi" w:hAnsiTheme="minorHAnsi" w:cstheme="minorHAnsi"/>
          <w:sz w:val="22"/>
          <w:szCs w:val="22"/>
        </w:rPr>
        <w:t>commonly overlooked</w:t>
      </w:r>
      <w:proofErr w:type="gramEnd"/>
      <w:r w:rsidR="00C67140" w:rsidRPr="0073564C">
        <w:rPr>
          <w:rFonts w:asciiTheme="minorHAnsi" w:hAnsiTheme="minorHAnsi" w:cstheme="minorHAnsi"/>
          <w:sz w:val="22"/>
          <w:szCs w:val="22"/>
        </w:rPr>
        <w:t xml:space="preserve">, boilerplate provisions in a commercial contract can </w:t>
      </w:r>
      <w:r w:rsidR="00935F23" w:rsidRPr="0073564C">
        <w:rPr>
          <w:rFonts w:asciiTheme="minorHAnsi" w:hAnsiTheme="minorHAnsi" w:cstheme="minorHAnsi"/>
          <w:sz w:val="22"/>
          <w:szCs w:val="22"/>
        </w:rPr>
        <w:t>have a significant impact on enforcement of</w:t>
      </w:r>
      <w:r w:rsidR="00C67140" w:rsidRPr="0073564C">
        <w:rPr>
          <w:rFonts w:asciiTheme="minorHAnsi" w:hAnsiTheme="minorHAnsi" w:cstheme="minorHAnsi"/>
          <w:sz w:val="22"/>
          <w:szCs w:val="22"/>
        </w:rPr>
        <w:t xml:space="preserve"> legal documentation in the event of a dispute.  </w:t>
      </w:r>
      <w:r w:rsidR="00935F23" w:rsidRPr="0073564C">
        <w:rPr>
          <w:rFonts w:asciiTheme="minorHAnsi" w:hAnsiTheme="minorHAnsi" w:cstheme="minorHAnsi"/>
          <w:sz w:val="22"/>
          <w:szCs w:val="22"/>
        </w:rPr>
        <w:t xml:space="preserve"> Boilerplate t</w:t>
      </w:r>
      <w:r w:rsidR="00C67140" w:rsidRPr="0073564C">
        <w:rPr>
          <w:rFonts w:asciiTheme="minorHAnsi" w:hAnsiTheme="minorHAnsi" w:cstheme="minorHAnsi"/>
          <w:sz w:val="22"/>
          <w:szCs w:val="22"/>
        </w:rPr>
        <w:t xml:space="preserve">erms that have lost meaning </w:t>
      </w:r>
      <w:r w:rsidR="00935F23" w:rsidRPr="0073564C">
        <w:rPr>
          <w:rFonts w:asciiTheme="minorHAnsi" w:hAnsiTheme="minorHAnsi" w:cstheme="minorHAnsi"/>
          <w:sz w:val="22"/>
          <w:szCs w:val="22"/>
        </w:rPr>
        <w:t xml:space="preserve">due to overuse </w:t>
      </w:r>
      <w:r w:rsidR="00C67140" w:rsidRPr="0073564C">
        <w:rPr>
          <w:rFonts w:asciiTheme="minorHAnsi" w:hAnsiTheme="minorHAnsi" w:cstheme="minorHAnsi"/>
          <w:sz w:val="22"/>
          <w:szCs w:val="22"/>
        </w:rPr>
        <w:t xml:space="preserve">may still provoke litigation over </w:t>
      </w:r>
      <w:proofErr w:type="gramStart"/>
      <w:r w:rsidR="00C67140" w:rsidRPr="0073564C">
        <w:rPr>
          <w:rFonts w:asciiTheme="minorHAnsi" w:hAnsiTheme="minorHAnsi" w:cstheme="minorHAnsi"/>
          <w:sz w:val="22"/>
          <w:szCs w:val="22"/>
        </w:rPr>
        <w:t>essentially meaningless</w:t>
      </w:r>
      <w:proofErr w:type="gramEnd"/>
      <w:r w:rsidR="00C67140" w:rsidRPr="0073564C">
        <w:rPr>
          <w:rFonts w:asciiTheme="minorHAnsi" w:hAnsiTheme="minorHAnsi" w:cstheme="minorHAnsi"/>
          <w:sz w:val="22"/>
          <w:szCs w:val="22"/>
        </w:rPr>
        <w:t xml:space="preserve"> variations in the language.  Some examples of key points to consider when drafting boilerplate provisions are as follows:</w:t>
      </w:r>
    </w:p>
    <w:p w:rsidR="00C67140" w:rsidRPr="0073564C" w:rsidRDefault="00C67140" w:rsidP="00C6714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Amendment and Waiver.</w:t>
      </w:r>
      <w:r w:rsidRPr="0073564C">
        <w:rPr>
          <w:rFonts w:asciiTheme="minorHAnsi" w:hAnsiTheme="minorHAnsi" w:cstheme="minorHAnsi"/>
          <w:sz w:val="22"/>
          <w:szCs w:val="22"/>
        </w:rPr>
        <w:t xml:space="preserve">  When drafting an amendment or waiver provision in a contract, consider the following questions: Must an amendment be </w:t>
      </w:r>
      <w:proofErr w:type="gramStart"/>
      <w:r w:rsidRPr="0073564C">
        <w:rPr>
          <w:rFonts w:asciiTheme="minorHAnsi" w:hAnsiTheme="minorHAnsi" w:cstheme="minorHAnsi"/>
          <w:sz w:val="22"/>
          <w:szCs w:val="22"/>
        </w:rPr>
        <w:t>written</w:t>
      </w:r>
      <w:proofErr w:type="gramEnd"/>
      <w:r w:rsidRPr="0073564C">
        <w:rPr>
          <w:rFonts w:asciiTheme="minorHAnsi" w:hAnsiTheme="minorHAnsi" w:cstheme="minorHAnsi"/>
          <w:sz w:val="22"/>
          <w:szCs w:val="22"/>
        </w:rPr>
        <w:t xml:space="preserve"> or can it be verbal? Must it be titled “amendment</w:t>
      </w:r>
      <w:proofErr w:type="gramStart"/>
      <w:r w:rsidRPr="0073564C">
        <w:rPr>
          <w:rFonts w:asciiTheme="minorHAnsi" w:hAnsiTheme="minorHAnsi" w:cstheme="minorHAnsi"/>
          <w:sz w:val="22"/>
          <w:szCs w:val="22"/>
        </w:rPr>
        <w:t>”</w:t>
      </w:r>
      <w:proofErr w:type="gramEnd"/>
      <w:r w:rsidRPr="0073564C">
        <w:rPr>
          <w:rFonts w:asciiTheme="minorHAnsi" w:hAnsiTheme="minorHAnsi" w:cstheme="minorHAnsi"/>
          <w:sz w:val="22"/>
          <w:szCs w:val="22"/>
        </w:rPr>
        <w:t xml:space="preserve"> or will a series of emails be sufficient to amend the contract?  Who must sign the amendment for it to be valid?  If a party waives a provision of a contract does that waiver last forever or just in one instance?  Similar to an amendment, can a waiver be verbally agreed to or must it be formally written?</w:t>
      </w:r>
    </w:p>
    <w:p w:rsidR="00C67140" w:rsidRPr="0073564C" w:rsidRDefault="00C67140" w:rsidP="00C6714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lastRenderedPageBreak/>
        <w:t>Merger and Integration.</w:t>
      </w:r>
      <w:r w:rsidRPr="0073564C">
        <w:rPr>
          <w:rFonts w:asciiTheme="minorHAnsi" w:hAnsiTheme="minorHAnsi" w:cstheme="minorHAnsi"/>
          <w:sz w:val="22"/>
          <w:szCs w:val="22"/>
        </w:rPr>
        <w:t xml:space="preserve">  The purpose of these provisions is to give legal effect to the contracting parties’ intention to make the written document the “final” expression of their agreement.  With such provisions, practitioners </w:t>
      </w:r>
      <w:r w:rsidR="00DF462D" w:rsidRPr="0073564C">
        <w:rPr>
          <w:rFonts w:asciiTheme="minorHAnsi" w:hAnsiTheme="minorHAnsi" w:cstheme="minorHAnsi"/>
          <w:sz w:val="22"/>
          <w:szCs w:val="22"/>
        </w:rPr>
        <w:t>should</w:t>
      </w:r>
      <w:r w:rsidRPr="0073564C">
        <w:rPr>
          <w:rFonts w:asciiTheme="minorHAnsi" w:hAnsiTheme="minorHAnsi" w:cstheme="minorHAnsi"/>
          <w:sz w:val="22"/>
          <w:szCs w:val="22"/>
        </w:rPr>
        <w:t xml:space="preserve"> ensure that all relevant contracts are included, such as ancillary documents and statements of work.  If these ancillary agreements are not referenced, </w:t>
      </w:r>
      <w:r w:rsidR="00DF462D" w:rsidRPr="0073564C">
        <w:rPr>
          <w:rFonts w:asciiTheme="minorHAnsi" w:hAnsiTheme="minorHAnsi" w:cstheme="minorHAnsi"/>
          <w:sz w:val="22"/>
          <w:szCs w:val="22"/>
        </w:rPr>
        <w:t>the</w:t>
      </w:r>
      <w:r w:rsidRPr="0073564C">
        <w:rPr>
          <w:rFonts w:asciiTheme="minorHAnsi" w:hAnsiTheme="minorHAnsi" w:cstheme="minorHAnsi"/>
          <w:sz w:val="22"/>
          <w:szCs w:val="22"/>
        </w:rPr>
        <w:t xml:space="preserve"> risk</w:t>
      </w:r>
      <w:r w:rsidR="00DF462D" w:rsidRPr="0073564C">
        <w:rPr>
          <w:rFonts w:asciiTheme="minorHAnsi" w:hAnsiTheme="minorHAnsi" w:cstheme="minorHAnsi"/>
          <w:sz w:val="22"/>
          <w:szCs w:val="22"/>
        </w:rPr>
        <w:t xml:space="preserve"> is</w:t>
      </w:r>
      <w:r w:rsidRPr="0073564C">
        <w:rPr>
          <w:rFonts w:asciiTheme="minorHAnsi" w:hAnsiTheme="minorHAnsi" w:cstheme="minorHAnsi"/>
          <w:sz w:val="22"/>
          <w:szCs w:val="22"/>
        </w:rPr>
        <w:t xml:space="preserve"> that these documents are not enforceable.</w:t>
      </w:r>
    </w:p>
    <w:p w:rsidR="00C67140" w:rsidRPr="0073564C" w:rsidRDefault="00C67140" w:rsidP="00C647BE">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Severability.</w:t>
      </w:r>
      <w:r w:rsidRPr="0073564C">
        <w:rPr>
          <w:rFonts w:asciiTheme="minorHAnsi" w:hAnsiTheme="minorHAnsi" w:cstheme="minorHAnsi"/>
          <w:sz w:val="22"/>
          <w:szCs w:val="22"/>
        </w:rPr>
        <w:t xml:space="preserve">  Certain provisions in a contract, such as indemnification, liquidated damages and penalties, raise public policy concerns and have a higher likelihood of being held unenforceable.</w:t>
      </w:r>
      <w:r w:rsidR="00DF462D" w:rsidRPr="0073564C">
        <w:rPr>
          <w:rFonts w:asciiTheme="minorHAnsi" w:hAnsiTheme="minorHAnsi" w:cstheme="minorHAnsi"/>
          <w:sz w:val="22"/>
          <w:szCs w:val="22"/>
        </w:rPr>
        <w:t xml:space="preserve">  </w:t>
      </w:r>
      <w:r w:rsidR="00360CF8" w:rsidRPr="0073564C">
        <w:rPr>
          <w:rFonts w:asciiTheme="minorHAnsi" w:hAnsiTheme="minorHAnsi" w:cstheme="minorHAnsi"/>
          <w:sz w:val="22"/>
          <w:szCs w:val="22"/>
        </w:rPr>
        <w:t>To clarify the parties’ intent to remove an unenforceable provision and remain bound by the rest of the agreement, a</w:t>
      </w:r>
      <w:r w:rsidRPr="0073564C">
        <w:rPr>
          <w:rFonts w:asciiTheme="minorHAnsi" w:hAnsiTheme="minorHAnsi" w:cstheme="minorHAnsi"/>
          <w:sz w:val="22"/>
          <w:szCs w:val="22"/>
        </w:rPr>
        <w:t xml:space="preserve"> severability </w:t>
      </w:r>
      <w:r w:rsidR="00DF462D" w:rsidRPr="0073564C">
        <w:rPr>
          <w:rFonts w:asciiTheme="minorHAnsi" w:hAnsiTheme="minorHAnsi" w:cstheme="minorHAnsi"/>
          <w:sz w:val="22"/>
          <w:szCs w:val="22"/>
        </w:rPr>
        <w:t>provision should contemplate</w:t>
      </w:r>
      <w:r w:rsidRPr="0073564C">
        <w:rPr>
          <w:rFonts w:asciiTheme="minorHAnsi" w:hAnsiTheme="minorHAnsi" w:cstheme="minorHAnsi"/>
          <w:sz w:val="22"/>
          <w:szCs w:val="22"/>
        </w:rPr>
        <w:t xml:space="preserve"> judicial reformatio</w:t>
      </w:r>
      <w:r w:rsidR="00360CF8" w:rsidRPr="0073564C">
        <w:rPr>
          <w:rFonts w:asciiTheme="minorHAnsi" w:hAnsiTheme="minorHAnsi" w:cstheme="minorHAnsi"/>
          <w:sz w:val="22"/>
          <w:szCs w:val="22"/>
        </w:rPr>
        <w:t>n of the agreement to modify an</w:t>
      </w:r>
      <w:r w:rsidRPr="0073564C">
        <w:rPr>
          <w:rFonts w:asciiTheme="minorHAnsi" w:hAnsiTheme="minorHAnsi" w:cstheme="minorHAnsi"/>
          <w:sz w:val="22"/>
          <w:szCs w:val="22"/>
        </w:rPr>
        <w:t xml:space="preserve"> invalid provision</w:t>
      </w:r>
      <w:r w:rsidR="00360CF8" w:rsidRPr="0073564C">
        <w:rPr>
          <w:rFonts w:asciiTheme="minorHAnsi" w:hAnsiTheme="minorHAnsi" w:cstheme="minorHAnsi"/>
          <w:sz w:val="22"/>
          <w:szCs w:val="22"/>
        </w:rPr>
        <w:t xml:space="preserve">.  </w:t>
      </w:r>
    </w:p>
    <w:p w:rsidR="000E1899" w:rsidRDefault="00C67140" w:rsidP="008B0160">
      <w:pPr>
        <w:pStyle w:val="ListParagraph"/>
        <w:numPr>
          <w:ilvl w:val="0"/>
          <w:numId w:val="38"/>
        </w:numPr>
        <w:spacing w:before="120"/>
        <w:contextualSpacing w:val="0"/>
        <w:jc w:val="both"/>
        <w:rPr>
          <w:rFonts w:asciiTheme="minorHAnsi" w:hAnsiTheme="minorHAnsi" w:cstheme="minorHAnsi"/>
          <w:sz w:val="22"/>
          <w:szCs w:val="22"/>
        </w:rPr>
      </w:pPr>
      <w:r w:rsidRPr="0073564C">
        <w:rPr>
          <w:rFonts w:asciiTheme="minorHAnsi" w:hAnsiTheme="minorHAnsi" w:cstheme="minorHAnsi"/>
          <w:i/>
          <w:sz w:val="22"/>
          <w:szCs w:val="22"/>
        </w:rPr>
        <w:t>Notice Provisions.</w:t>
      </w:r>
      <w:r w:rsidRPr="0073564C">
        <w:rPr>
          <w:rFonts w:asciiTheme="minorHAnsi" w:hAnsiTheme="minorHAnsi" w:cstheme="minorHAnsi"/>
          <w:sz w:val="22"/>
          <w:szCs w:val="22"/>
        </w:rPr>
        <w:t xml:space="preserve">  Consider who should receive notice and by what method.  Notice via fax may not be necessary if the parties most often use email to communicate.  Practitioners should consider the most practical method of communication when drafting notice provisions so as not to create onerous requirements.</w:t>
      </w:r>
    </w:p>
    <w:p w:rsidR="009756BE" w:rsidRDefault="009756BE" w:rsidP="009756BE">
      <w:pPr>
        <w:spacing w:before="120"/>
        <w:jc w:val="both"/>
        <w:rPr>
          <w:rFonts w:asciiTheme="minorHAnsi" w:hAnsiTheme="minorHAnsi" w:cstheme="minorHAnsi"/>
          <w:sz w:val="22"/>
          <w:szCs w:val="22"/>
        </w:rPr>
      </w:pPr>
    </w:p>
    <w:p w:rsidR="009756BE" w:rsidRPr="009756BE" w:rsidRDefault="009756BE" w:rsidP="009756BE">
      <w:pPr>
        <w:rPr>
          <w:rFonts w:ascii="Calibri" w:hAnsi="Calibri" w:cs="Times New Roman"/>
          <w:color w:val="000000"/>
          <w:sz w:val="22"/>
          <w:szCs w:val="22"/>
        </w:rPr>
      </w:pPr>
      <w:r w:rsidRPr="009756BE">
        <w:rPr>
          <w:rFonts w:ascii="Calibri" w:hAnsi="Calibri" w:cs="Times New Roman"/>
          <w:i/>
          <w:iCs/>
          <w:color w:val="000000"/>
          <w:sz w:val="22"/>
          <w:szCs w:val="22"/>
        </w:rPr>
        <w:t>The authors are members of Thompson &amp; Knight LLP’s Corporate and Securities Practice Group in Dallas.</w:t>
      </w:r>
    </w:p>
    <w:p w:rsidR="009756BE" w:rsidRPr="009756BE" w:rsidRDefault="009756BE" w:rsidP="009756BE">
      <w:pPr>
        <w:rPr>
          <w:rFonts w:ascii="Calibri" w:hAnsi="Calibri" w:cs="Times New Roman"/>
          <w:color w:val="000000"/>
          <w:sz w:val="22"/>
          <w:szCs w:val="22"/>
        </w:rPr>
      </w:pPr>
      <w:r w:rsidRPr="009756BE">
        <w:rPr>
          <w:rFonts w:ascii="Calibri" w:hAnsi="Calibri" w:cs="Times New Roman"/>
          <w:color w:val="000000"/>
          <w:sz w:val="22"/>
          <w:szCs w:val="22"/>
        </w:rPr>
        <w:t> </w:t>
      </w:r>
    </w:p>
    <w:p w:rsidR="009756BE" w:rsidRPr="009756BE" w:rsidRDefault="009756BE" w:rsidP="009756BE">
      <w:pPr>
        <w:ind w:left="1080"/>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58240" behindDoc="1" locked="0" layoutInCell="1" allowOverlap="1" wp14:anchorId="66DED72F">
            <wp:simplePos x="0" y="0"/>
            <wp:positionH relativeFrom="column">
              <wp:posOffset>685800</wp:posOffset>
            </wp:positionH>
            <wp:positionV relativeFrom="paragraph">
              <wp:posOffset>0</wp:posOffset>
            </wp:positionV>
            <wp:extent cx="713509" cy="713509"/>
            <wp:effectExtent l="0" t="0" r="0" b="0"/>
            <wp:wrapTight wrapText="bothSides">
              <wp:wrapPolygon edited="0">
                <wp:start x="0" y="0"/>
                <wp:lineTo x="0" y="21158"/>
                <wp:lineTo x="21158" y="21158"/>
                <wp:lineTo x="211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y.Curtis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509" cy="713509"/>
                    </a:xfrm>
                    <a:prstGeom prst="rect">
                      <a:avLst/>
                    </a:prstGeom>
                  </pic:spPr>
                </pic:pic>
              </a:graphicData>
            </a:graphic>
            <wp14:sizeRelH relativeFrom="page">
              <wp14:pctWidth>0</wp14:pctWidth>
            </wp14:sizeRelH>
            <wp14:sizeRelV relativeFrom="page">
              <wp14:pctHeight>0</wp14:pctHeight>
            </wp14:sizeRelV>
          </wp:anchor>
        </w:drawing>
      </w:r>
      <w:r w:rsidRPr="009756BE">
        <w:rPr>
          <w:rFonts w:ascii="Calibri" w:hAnsi="Calibri" w:cs="Times New Roman"/>
          <w:color w:val="000000"/>
          <w:sz w:val="22"/>
          <w:szCs w:val="22"/>
        </w:rPr>
        <w:t>Amy R. Curtis is a Partner, and her expertise includes public and private debt and equity offerings; tender offers, mergers, and stock and asset acquisitions; SEC reporting and general securities compliance; and general corporate, partnership, limited liability company, and contract matters.</w:t>
      </w:r>
    </w:p>
    <w:p w:rsidR="009756BE" w:rsidRPr="009756BE" w:rsidRDefault="009756BE" w:rsidP="009756BE">
      <w:pPr>
        <w:ind w:left="1080"/>
        <w:rPr>
          <w:rFonts w:ascii="Calibri" w:hAnsi="Calibri" w:cs="Times New Roman"/>
          <w:color w:val="000000"/>
          <w:sz w:val="22"/>
          <w:szCs w:val="22"/>
        </w:rPr>
      </w:pPr>
      <w:r w:rsidRPr="009756BE">
        <w:rPr>
          <w:rFonts w:ascii="Calibri" w:hAnsi="Calibri" w:cs="Times New Roman"/>
          <w:color w:val="000000"/>
          <w:sz w:val="22"/>
          <w:szCs w:val="22"/>
        </w:rPr>
        <w:t> </w:t>
      </w:r>
    </w:p>
    <w:p w:rsidR="009756BE" w:rsidRPr="009756BE" w:rsidRDefault="009756BE" w:rsidP="009756BE">
      <w:pPr>
        <w:ind w:left="1080"/>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62336" behindDoc="1" locked="0" layoutInCell="1" allowOverlap="1">
            <wp:simplePos x="0" y="0"/>
            <wp:positionH relativeFrom="column">
              <wp:posOffset>685800</wp:posOffset>
            </wp:positionH>
            <wp:positionV relativeFrom="paragraph">
              <wp:posOffset>-3175</wp:posOffset>
            </wp:positionV>
            <wp:extent cx="671830" cy="671830"/>
            <wp:effectExtent l="0" t="0" r="1270" b="1270"/>
            <wp:wrapTight wrapText="bothSides">
              <wp:wrapPolygon edited="0">
                <wp:start x="0" y="0"/>
                <wp:lineTo x="0" y="21233"/>
                <wp:lineTo x="21233" y="21233"/>
                <wp:lineTo x="212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tchell.Griffith_small.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71830" cy="671830"/>
                    </a:xfrm>
                    <a:prstGeom prst="rect">
                      <a:avLst/>
                    </a:prstGeom>
                  </pic:spPr>
                </pic:pic>
              </a:graphicData>
            </a:graphic>
            <wp14:sizeRelH relativeFrom="page">
              <wp14:pctWidth>0</wp14:pctWidth>
            </wp14:sizeRelH>
            <wp14:sizeRelV relativeFrom="page">
              <wp14:pctHeight>0</wp14:pctHeight>
            </wp14:sizeRelV>
          </wp:anchor>
        </w:drawing>
      </w:r>
      <w:r w:rsidRPr="009756BE">
        <w:rPr>
          <w:rFonts w:ascii="Calibri" w:hAnsi="Calibri" w:cs="Times New Roman"/>
          <w:color w:val="000000"/>
          <w:sz w:val="22"/>
          <w:szCs w:val="22"/>
        </w:rPr>
        <w:t>Mitchell L. Griffith is a Partner, and he focuses his practice on mergers and acquisitions, private equity and venture capital securities offerings, corporate governance, and other corporate matters.</w:t>
      </w:r>
    </w:p>
    <w:p w:rsidR="009756BE" w:rsidRDefault="009756BE" w:rsidP="009756BE">
      <w:pPr>
        <w:ind w:left="1080"/>
        <w:rPr>
          <w:rFonts w:ascii="Calibri" w:hAnsi="Calibri" w:cs="Times New Roman"/>
          <w:color w:val="000000"/>
          <w:sz w:val="22"/>
          <w:szCs w:val="22"/>
        </w:rPr>
      </w:pPr>
      <w:r w:rsidRPr="009756BE">
        <w:rPr>
          <w:rFonts w:ascii="Calibri" w:hAnsi="Calibri" w:cs="Times New Roman"/>
          <w:color w:val="000000"/>
          <w:sz w:val="22"/>
          <w:szCs w:val="22"/>
        </w:rPr>
        <w:t> </w:t>
      </w:r>
    </w:p>
    <w:p w:rsidR="009756BE" w:rsidRPr="009756BE" w:rsidRDefault="009756BE" w:rsidP="009756BE">
      <w:pPr>
        <w:ind w:left="1080"/>
        <w:rPr>
          <w:rFonts w:ascii="Calibri" w:hAnsi="Calibri" w:cs="Times New Roman"/>
          <w:color w:val="000000"/>
          <w:sz w:val="22"/>
          <w:szCs w:val="22"/>
        </w:rPr>
      </w:pPr>
    </w:p>
    <w:p w:rsidR="009756BE" w:rsidRPr="009756BE" w:rsidRDefault="009756BE" w:rsidP="009756BE">
      <w:pPr>
        <w:ind w:left="1080"/>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59264" behindDoc="1" locked="0" layoutInCell="1" allowOverlap="1">
            <wp:simplePos x="0" y="0"/>
            <wp:positionH relativeFrom="column">
              <wp:posOffset>685800</wp:posOffset>
            </wp:positionH>
            <wp:positionV relativeFrom="paragraph">
              <wp:posOffset>635</wp:posOffset>
            </wp:positionV>
            <wp:extent cx="706582" cy="706582"/>
            <wp:effectExtent l="0" t="0" r="5080" b="5080"/>
            <wp:wrapTight wrapText="bothSides">
              <wp:wrapPolygon edited="0">
                <wp:start x="0" y="0"/>
                <wp:lineTo x="0" y="21367"/>
                <wp:lineTo x="21367" y="21367"/>
                <wp:lineTo x="213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Fisher_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582" cy="706582"/>
                    </a:xfrm>
                    <a:prstGeom prst="rect">
                      <a:avLst/>
                    </a:prstGeom>
                  </pic:spPr>
                </pic:pic>
              </a:graphicData>
            </a:graphic>
            <wp14:sizeRelH relativeFrom="page">
              <wp14:pctWidth>0</wp14:pctWidth>
            </wp14:sizeRelH>
            <wp14:sizeRelV relativeFrom="page">
              <wp14:pctHeight>0</wp14:pctHeight>
            </wp14:sizeRelV>
          </wp:anchor>
        </w:drawing>
      </w:r>
      <w:r w:rsidRPr="009756BE">
        <w:rPr>
          <w:rFonts w:ascii="Calibri" w:hAnsi="Calibri" w:cs="Times New Roman"/>
          <w:color w:val="000000"/>
          <w:sz w:val="22"/>
          <w:szCs w:val="22"/>
        </w:rPr>
        <w:t>Susan Fisher is an Associate, and her experience includes mergers and acquisitions, private equity, securities transactions, bank and mezzanine finance, and general corporate matters.</w:t>
      </w:r>
    </w:p>
    <w:p w:rsidR="009756BE" w:rsidRDefault="009756BE" w:rsidP="009756BE">
      <w:pPr>
        <w:ind w:left="1080"/>
        <w:rPr>
          <w:rFonts w:ascii="Calibri" w:hAnsi="Calibri" w:cs="Times New Roman"/>
          <w:color w:val="000000"/>
          <w:sz w:val="22"/>
          <w:szCs w:val="22"/>
        </w:rPr>
      </w:pPr>
      <w:r w:rsidRPr="009756BE">
        <w:rPr>
          <w:rFonts w:ascii="Calibri" w:hAnsi="Calibri" w:cs="Times New Roman"/>
          <w:color w:val="000000"/>
          <w:sz w:val="22"/>
          <w:szCs w:val="22"/>
        </w:rPr>
        <w:t> </w:t>
      </w:r>
    </w:p>
    <w:p w:rsidR="009756BE" w:rsidRDefault="009756BE" w:rsidP="004150DA">
      <w:pPr>
        <w:rPr>
          <w:rFonts w:ascii="Calibri" w:hAnsi="Calibri" w:cs="Times New Roman"/>
          <w:color w:val="000000"/>
          <w:sz w:val="22"/>
          <w:szCs w:val="22"/>
        </w:rPr>
      </w:pPr>
      <w:bookmarkStart w:id="0" w:name="_GoBack"/>
      <w:bookmarkEnd w:id="0"/>
    </w:p>
    <w:p w:rsidR="009756BE" w:rsidRPr="009756BE" w:rsidRDefault="009756BE" w:rsidP="009756BE">
      <w:pPr>
        <w:ind w:left="1080"/>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60288" behindDoc="1" locked="0" layoutInCell="1" allowOverlap="1">
            <wp:simplePos x="0" y="0"/>
            <wp:positionH relativeFrom="column">
              <wp:posOffset>685800</wp:posOffset>
            </wp:positionH>
            <wp:positionV relativeFrom="paragraph">
              <wp:posOffset>0</wp:posOffset>
            </wp:positionV>
            <wp:extent cx="665018" cy="665018"/>
            <wp:effectExtent l="0" t="0" r="0" b="0"/>
            <wp:wrapTight wrapText="bothSides">
              <wp:wrapPolygon edited="0">
                <wp:start x="0" y="0"/>
                <wp:lineTo x="0" y="21043"/>
                <wp:lineTo x="21043" y="21043"/>
                <wp:lineTo x="210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harine.Hansard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018" cy="665018"/>
                    </a:xfrm>
                    <a:prstGeom prst="rect">
                      <a:avLst/>
                    </a:prstGeom>
                  </pic:spPr>
                </pic:pic>
              </a:graphicData>
            </a:graphic>
            <wp14:sizeRelH relativeFrom="page">
              <wp14:pctWidth>0</wp14:pctWidth>
            </wp14:sizeRelH>
            <wp14:sizeRelV relativeFrom="page">
              <wp14:pctHeight>0</wp14:pctHeight>
            </wp14:sizeRelV>
          </wp:anchor>
        </w:drawing>
      </w:r>
      <w:r w:rsidRPr="009756BE">
        <w:rPr>
          <w:rFonts w:ascii="Calibri" w:hAnsi="Calibri" w:cs="Times New Roman"/>
          <w:color w:val="000000"/>
          <w:sz w:val="22"/>
          <w:szCs w:val="22"/>
        </w:rPr>
        <w:t>Catharine A. Hansard is an Associate, and she focuses her practice on mergers and acquisitions, formation of portfolio companies, internal restructurings, private equity fund formation, compliance with securities laws, and other general corporate governance matters.</w:t>
      </w:r>
    </w:p>
    <w:p w:rsidR="009756BE" w:rsidRPr="009756BE" w:rsidRDefault="009756BE" w:rsidP="009756BE">
      <w:pPr>
        <w:ind w:left="1080"/>
        <w:rPr>
          <w:rFonts w:ascii="Calibri" w:hAnsi="Calibri" w:cs="Times New Roman"/>
          <w:color w:val="000000"/>
          <w:sz w:val="22"/>
          <w:szCs w:val="22"/>
        </w:rPr>
      </w:pPr>
      <w:r w:rsidRPr="009756BE">
        <w:rPr>
          <w:rFonts w:ascii="Calibri" w:hAnsi="Calibri" w:cs="Times New Roman"/>
          <w:color w:val="000000"/>
          <w:sz w:val="22"/>
          <w:szCs w:val="22"/>
        </w:rPr>
        <w:t> </w:t>
      </w:r>
    </w:p>
    <w:p w:rsidR="009756BE" w:rsidRPr="009756BE" w:rsidRDefault="009756BE" w:rsidP="009756BE">
      <w:pPr>
        <w:ind w:left="1080"/>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61312" behindDoc="1" locked="0" layoutInCell="1" allowOverlap="1">
            <wp:simplePos x="0" y="0"/>
            <wp:positionH relativeFrom="column">
              <wp:posOffset>685800</wp:posOffset>
            </wp:positionH>
            <wp:positionV relativeFrom="paragraph">
              <wp:posOffset>1905</wp:posOffset>
            </wp:positionV>
            <wp:extent cx="637309" cy="637309"/>
            <wp:effectExtent l="0" t="0" r="0" b="0"/>
            <wp:wrapTight wrapText="bothSides">
              <wp:wrapPolygon edited="0">
                <wp:start x="0" y="0"/>
                <wp:lineTo x="0" y="21105"/>
                <wp:lineTo x="21105" y="21105"/>
                <wp:lineTo x="211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ily.Poulsen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309" cy="637309"/>
                    </a:xfrm>
                    <a:prstGeom prst="rect">
                      <a:avLst/>
                    </a:prstGeom>
                  </pic:spPr>
                </pic:pic>
              </a:graphicData>
            </a:graphic>
            <wp14:sizeRelH relativeFrom="page">
              <wp14:pctWidth>0</wp14:pctWidth>
            </wp14:sizeRelH>
            <wp14:sizeRelV relativeFrom="page">
              <wp14:pctHeight>0</wp14:pctHeight>
            </wp14:sizeRelV>
          </wp:anchor>
        </w:drawing>
      </w:r>
      <w:r w:rsidRPr="009756BE">
        <w:rPr>
          <w:rFonts w:ascii="Calibri" w:hAnsi="Calibri" w:cs="Times New Roman"/>
          <w:color w:val="000000"/>
          <w:sz w:val="22"/>
          <w:szCs w:val="22"/>
        </w:rPr>
        <w:t xml:space="preserve">Emily </w:t>
      </w:r>
      <w:proofErr w:type="spellStart"/>
      <w:r w:rsidRPr="009756BE">
        <w:rPr>
          <w:rFonts w:ascii="Calibri" w:hAnsi="Calibri" w:cs="Times New Roman"/>
          <w:color w:val="000000"/>
          <w:sz w:val="22"/>
          <w:szCs w:val="22"/>
        </w:rPr>
        <w:t>Semands</w:t>
      </w:r>
      <w:proofErr w:type="spellEnd"/>
      <w:r w:rsidRPr="009756BE">
        <w:rPr>
          <w:rFonts w:ascii="Calibri" w:hAnsi="Calibri" w:cs="Times New Roman"/>
          <w:color w:val="000000"/>
          <w:sz w:val="22"/>
          <w:szCs w:val="22"/>
        </w:rPr>
        <w:t xml:space="preserve"> Poulsen is an Associate, and her experience includes private equity fund formation, capital investment in portfolio companies, private equity </w:t>
      </w:r>
      <w:proofErr w:type="gramStart"/>
      <w:r w:rsidRPr="009756BE">
        <w:rPr>
          <w:rFonts w:ascii="Calibri" w:hAnsi="Calibri" w:cs="Times New Roman"/>
          <w:color w:val="000000"/>
          <w:sz w:val="22"/>
          <w:szCs w:val="22"/>
        </w:rPr>
        <w:t>sponsor</w:t>
      </w:r>
      <w:proofErr w:type="gramEnd"/>
      <w:r w:rsidRPr="009756BE">
        <w:rPr>
          <w:rFonts w:ascii="Calibri" w:hAnsi="Calibri" w:cs="Times New Roman"/>
          <w:color w:val="000000"/>
          <w:sz w:val="22"/>
          <w:szCs w:val="22"/>
        </w:rPr>
        <w:t xml:space="preserve"> regulatory compliance, mergers and acquisitions, securities law compliance, internal restructurings, and complex corporate governance.</w:t>
      </w:r>
    </w:p>
    <w:p w:rsidR="009756BE" w:rsidRPr="009756BE" w:rsidRDefault="009756BE" w:rsidP="009756BE">
      <w:pPr>
        <w:spacing w:before="120"/>
        <w:jc w:val="both"/>
        <w:rPr>
          <w:rFonts w:asciiTheme="minorHAnsi" w:hAnsiTheme="minorHAnsi" w:cstheme="minorHAnsi"/>
          <w:sz w:val="22"/>
          <w:szCs w:val="22"/>
        </w:rPr>
      </w:pPr>
    </w:p>
    <w:sectPr w:rsidR="009756BE" w:rsidRPr="009756BE" w:rsidSect="00C67140">
      <w:pgSz w:w="12240" w:h="15840" w:code="1"/>
      <w:pgMar w:top="12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7A7" w:rsidRDefault="005627A7" w:rsidP="00A63361">
      <w:r>
        <w:separator/>
      </w:r>
    </w:p>
  </w:endnote>
  <w:endnote w:type="continuationSeparator" w:id="0">
    <w:p w:rsidR="005627A7" w:rsidRDefault="005627A7" w:rsidP="00A6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7A7" w:rsidRDefault="005627A7" w:rsidP="00A63361">
      <w:r>
        <w:separator/>
      </w:r>
    </w:p>
  </w:footnote>
  <w:footnote w:type="continuationSeparator" w:id="0">
    <w:p w:rsidR="005627A7" w:rsidRDefault="005627A7" w:rsidP="00A63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C478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7038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96C3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3451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AC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A0CF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FA04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E2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806AAC"/>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C6CDB02"/>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643587E"/>
    <w:multiLevelType w:val="hybridMultilevel"/>
    <w:tmpl w:val="2D80E8AE"/>
    <w:lvl w:ilvl="0" w:tplc="E79247E4">
      <w:start w:val="1"/>
      <w:numFmt w:val="bullet"/>
      <w:lvlText w:val="•"/>
      <w:lvlJc w:val="left"/>
      <w:pPr>
        <w:tabs>
          <w:tab w:val="num" w:pos="720"/>
        </w:tabs>
        <w:ind w:left="720" w:hanging="360"/>
      </w:pPr>
      <w:rPr>
        <w:rFonts w:ascii="Arial" w:hAnsi="Arial" w:hint="default"/>
      </w:rPr>
    </w:lvl>
    <w:lvl w:ilvl="1" w:tplc="6B96B590" w:tentative="1">
      <w:start w:val="1"/>
      <w:numFmt w:val="bullet"/>
      <w:lvlText w:val="•"/>
      <w:lvlJc w:val="left"/>
      <w:pPr>
        <w:tabs>
          <w:tab w:val="num" w:pos="1440"/>
        </w:tabs>
        <w:ind w:left="1440" w:hanging="360"/>
      </w:pPr>
      <w:rPr>
        <w:rFonts w:ascii="Arial" w:hAnsi="Arial" w:hint="default"/>
      </w:rPr>
    </w:lvl>
    <w:lvl w:ilvl="2" w:tplc="CC88FB4A" w:tentative="1">
      <w:start w:val="1"/>
      <w:numFmt w:val="bullet"/>
      <w:lvlText w:val="•"/>
      <w:lvlJc w:val="left"/>
      <w:pPr>
        <w:tabs>
          <w:tab w:val="num" w:pos="2160"/>
        </w:tabs>
        <w:ind w:left="2160" w:hanging="360"/>
      </w:pPr>
      <w:rPr>
        <w:rFonts w:ascii="Arial" w:hAnsi="Arial" w:hint="default"/>
      </w:rPr>
    </w:lvl>
    <w:lvl w:ilvl="3" w:tplc="CE9CC79C" w:tentative="1">
      <w:start w:val="1"/>
      <w:numFmt w:val="bullet"/>
      <w:lvlText w:val="•"/>
      <w:lvlJc w:val="left"/>
      <w:pPr>
        <w:tabs>
          <w:tab w:val="num" w:pos="2880"/>
        </w:tabs>
        <w:ind w:left="2880" w:hanging="360"/>
      </w:pPr>
      <w:rPr>
        <w:rFonts w:ascii="Arial" w:hAnsi="Arial" w:hint="default"/>
      </w:rPr>
    </w:lvl>
    <w:lvl w:ilvl="4" w:tplc="507E4C48" w:tentative="1">
      <w:start w:val="1"/>
      <w:numFmt w:val="bullet"/>
      <w:lvlText w:val="•"/>
      <w:lvlJc w:val="left"/>
      <w:pPr>
        <w:tabs>
          <w:tab w:val="num" w:pos="3600"/>
        </w:tabs>
        <w:ind w:left="3600" w:hanging="360"/>
      </w:pPr>
      <w:rPr>
        <w:rFonts w:ascii="Arial" w:hAnsi="Arial" w:hint="default"/>
      </w:rPr>
    </w:lvl>
    <w:lvl w:ilvl="5" w:tplc="F1A62DC8" w:tentative="1">
      <w:start w:val="1"/>
      <w:numFmt w:val="bullet"/>
      <w:lvlText w:val="•"/>
      <w:lvlJc w:val="left"/>
      <w:pPr>
        <w:tabs>
          <w:tab w:val="num" w:pos="4320"/>
        </w:tabs>
        <w:ind w:left="4320" w:hanging="360"/>
      </w:pPr>
      <w:rPr>
        <w:rFonts w:ascii="Arial" w:hAnsi="Arial" w:hint="default"/>
      </w:rPr>
    </w:lvl>
    <w:lvl w:ilvl="6" w:tplc="9AA423F4" w:tentative="1">
      <w:start w:val="1"/>
      <w:numFmt w:val="bullet"/>
      <w:lvlText w:val="•"/>
      <w:lvlJc w:val="left"/>
      <w:pPr>
        <w:tabs>
          <w:tab w:val="num" w:pos="5040"/>
        </w:tabs>
        <w:ind w:left="5040" w:hanging="360"/>
      </w:pPr>
      <w:rPr>
        <w:rFonts w:ascii="Arial" w:hAnsi="Arial" w:hint="default"/>
      </w:rPr>
    </w:lvl>
    <w:lvl w:ilvl="7" w:tplc="CD4099F2" w:tentative="1">
      <w:start w:val="1"/>
      <w:numFmt w:val="bullet"/>
      <w:lvlText w:val="•"/>
      <w:lvlJc w:val="left"/>
      <w:pPr>
        <w:tabs>
          <w:tab w:val="num" w:pos="5760"/>
        </w:tabs>
        <w:ind w:left="5760" w:hanging="360"/>
      </w:pPr>
      <w:rPr>
        <w:rFonts w:ascii="Arial" w:hAnsi="Arial" w:hint="default"/>
      </w:rPr>
    </w:lvl>
    <w:lvl w:ilvl="8" w:tplc="843C5D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5C3E00"/>
    <w:multiLevelType w:val="hybridMultilevel"/>
    <w:tmpl w:val="4C745F8C"/>
    <w:lvl w:ilvl="0" w:tplc="86D8B04A">
      <w:start w:val="1"/>
      <w:numFmt w:val="decimal"/>
      <w:lvlText w:val="INTERROGATORY NO. %1:"/>
      <w:lvlJc w:val="left"/>
      <w:pPr>
        <w:tabs>
          <w:tab w:val="num" w:pos="3312"/>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A22E9E"/>
    <w:multiLevelType w:val="hybridMultilevel"/>
    <w:tmpl w:val="1C180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67B2DA0"/>
    <w:multiLevelType w:val="hybridMultilevel"/>
    <w:tmpl w:val="12B2A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0668F"/>
    <w:multiLevelType w:val="hybridMultilevel"/>
    <w:tmpl w:val="A90E2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5B42B6"/>
    <w:multiLevelType w:val="hybridMultilevel"/>
    <w:tmpl w:val="11229C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82944"/>
    <w:multiLevelType w:val="hybridMultilevel"/>
    <w:tmpl w:val="B8007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D35B4D"/>
    <w:multiLevelType w:val="hybridMultilevel"/>
    <w:tmpl w:val="E5164138"/>
    <w:lvl w:ilvl="0" w:tplc="830E27D0">
      <w:start w:val="1"/>
      <w:numFmt w:val="bullet"/>
      <w:lvlText w:val="•"/>
      <w:lvlJc w:val="left"/>
      <w:pPr>
        <w:tabs>
          <w:tab w:val="num" w:pos="720"/>
        </w:tabs>
        <w:ind w:left="720" w:hanging="360"/>
      </w:pPr>
      <w:rPr>
        <w:rFonts w:ascii="Arial" w:hAnsi="Arial" w:hint="default"/>
      </w:rPr>
    </w:lvl>
    <w:lvl w:ilvl="1" w:tplc="C2A84980">
      <w:start w:val="67"/>
      <w:numFmt w:val="bullet"/>
      <w:lvlText w:val="•"/>
      <w:lvlJc w:val="left"/>
      <w:pPr>
        <w:tabs>
          <w:tab w:val="num" w:pos="1440"/>
        </w:tabs>
        <w:ind w:left="1440" w:hanging="360"/>
      </w:pPr>
      <w:rPr>
        <w:rFonts w:ascii="Arial" w:hAnsi="Arial" w:hint="default"/>
      </w:rPr>
    </w:lvl>
    <w:lvl w:ilvl="2" w:tplc="02421948" w:tentative="1">
      <w:start w:val="1"/>
      <w:numFmt w:val="bullet"/>
      <w:lvlText w:val="•"/>
      <w:lvlJc w:val="left"/>
      <w:pPr>
        <w:tabs>
          <w:tab w:val="num" w:pos="2160"/>
        </w:tabs>
        <w:ind w:left="2160" w:hanging="360"/>
      </w:pPr>
      <w:rPr>
        <w:rFonts w:ascii="Arial" w:hAnsi="Arial" w:hint="default"/>
      </w:rPr>
    </w:lvl>
    <w:lvl w:ilvl="3" w:tplc="66F2C422" w:tentative="1">
      <w:start w:val="1"/>
      <w:numFmt w:val="bullet"/>
      <w:lvlText w:val="•"/>
      <w:lvlJc w:val="left"/>
      <w:pPr>
        <w:tabs>
          <w:tab w:val="num" w:pos="2880"/>
        </w:tabs>
        <w:ind w:left="2880" w:hanging="360"/>
      </w:pPr>
      <w:rPr>
        <w:rFonts w:ascii="Arial" w:hAnsi="Arial" w:hint="default"/>
      </w:rPr>
    </w:lvl>
    <w:lvl w:ilvl="4" w:tplc="E60C18B4" w:tentative="1">
      <w:start w:val="1"/>
      <w:numFmt w:val="bullet"/>
      <w:lvlText w:val="•"/>
      <w:lvlJc w:val="left"/>
      <w:pPr>
        <w:tabs>
          <w:tab w:val="num" w:pos="3600"/>
        </w:tabs>
        <w:ind w:left="3600" w:hanging="360"/>
      </w:pPr>
      <w:rPr>
        <w:rFonts w:ascii="Arial" w:hAnsi="Arial" w:hint="default"/>
      </w:rPr>
    </w:lvl>
    <w:lvl w:ilvl="5" w:tplc="040E0D1C" w:tentative="1">
      <w:start w:val="1"/>
      <w:numFmt w:val="bullet"/>
      <w:lvlText w:val="•"/>
      <w:lvlJc w:val="left"/>
      <w:pPr>
        <w:tabs>
          <w:tab w:val="num" w:pos="4320"/>
        </w:tabs>
        <w:ind w:left="4320" w:hanging="360"/>
      </w:pPr>
      <w:rPr>
        <w:rFonts w:ascii="Arial" w:hAnsi="Arial" w:hint="default"/>
      </w:rPr>
    </w:lvl>
    <w:lvl w:ilvl="6" w:tplc="3176FF22" w:tentative="1">
      <w:start w:val="1"/>
      <w:numFmt w:val="bullet"/>
      <w:lvlText w:val="•"/>
      <w:lvlJc w:val="left"/>
      <w:pPr>
        <w:tabs>
          <w:tab w:val="num" w:pos="5040"/>
        </w:tabs>
        <w:ind w:left="5040" w:hanging="360"/>
      </w:pPr>
      <w:rPr>
        <w:rFonts w:ascii="Arial" w:hAnsi="Arial" w:hint="default"/>
      </w:rPr>
    </w:lvl>
    <w:lvl w:ilvl="7" w:tplc="87647508" w:tentative="1">
      <w:start w:val="1"/>
      <w:numFmt w:val="bullet"/>
      <w:lvlText w:val="•"/>
      <w:lvlJc w:val="left"/>
      <w:pPr>
        <w:tabs>
          <w:tab w:val="num" w:pos="5760"/>
        </w:tabs>
        <w:ind w:left="5760" w:hanging="360"/>
      </w:pPr>
      <w:rPr>
        <w:rFonts w:ascii="Arial" w:hAnsi="Arial" w:hint="default"/>
      </w:rPr>
    </w:lvl>
    <w:lvl w:ilvl="8" w:tplc="40264F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874576"/>
    <w:multiLevelType w:val="hybridMultilevel"/>
    <w:tmpl w:val="1DB8A3BE"/>
    <w:lvl w:ilvl="0" w:tplc="4CC69B64">
      <w:start w:val="1"/>
      <w:numFmt w:val="bullet"/>
      <w:lvlText w:val="•"/>
      <w:lvlJc w:val="left"/>
      <w:pPr>
        <w:tabs>
          <w:tab w:val="num" w:pos="720"/>
        </w:tabs>
        <w:ind w:left="720" w:hanging="360"/>
      </w:pPr>
      <w:rPr>
        <w:rFonts w:ascii="Times New Roman" w:hAnsi="Times New Roman" w:hint="default"/>
      </w:rPr>
    </w:lvl>
    <w:lvl w:ilvl="1" w:tplc="CC36E78A">
      <w:start w:val="1"/>
      <w:numFmt w:val="bullet"/>
      <w:lvlText w:val="•"/>
      <w:lvlJc w:val="left"/>
      <w:pPr>
        <w:tabs>
          <w:tab w:val="num" w:pos="1440"/>
        </w:tabs>
        <w:ind w:left="1440" w:hanging="360"/>
      </w:pPr>
      <w:rPr>
        <w:rFonts w:ascii="Times New Roman" w:hAnsi="Times New Roman" w:hint="default"/>
      </w:rPr>
    </w:lvl>
    <w:lvl w:ilvl="2" w:tplc="29C820E8" w:tentative="1">
      <w:start w:val="1"/>
      <w:numFmt w:val="bullet"/>
      <w:lvlText w:val="•"/>
      <w:lvlJc w:val="left"/>
      <w:pPr>
        <w:tabs>
          <w:tab w:val="num" w:pos="2160"/>
        </w:tabs>
        <w:ind w:left="2160" w:hanging="360"/>
      </w:pPr>
      <w:rPr>
        <w:rFonts w:ascii="Times New Roman" w:hAnsi="Times New Roman" w:hint="default"/>
      </w:rPr>
    </w:lvl>
    <w:lvl w:ilvl="3" w:tplc="B98CDDC2" w:tentative="1">
      <w:start w:val="1"/>
      <w:numFmt w:val="bullet"/>
      <w:lvlText w:val="•"/>
      <w:lvlJc w:val="left"/>
      <w:pPr>
        <w:tabs>
          <w:tab w:val="num" w:pos="2880"/>
        </w:tabs>
        <w:ind w:left="2880" w:hanging="360"/>
      </w:pPr>
      <w:rPr>
        <w:rFonts w:ascii="Times New Roman" w:hAnsi="Times New Roman" w:hint="default"/>
      </w:rPr>
    </w:lvl>
    <w:lvl w:ilvl="4" w:tplc="E1F06852" w:tentative="1">
      <w:start w:val="1"/>
      <w:numFmt w:val="bullet"/>
      <w:lvlText w:val="•"/>
      <w:lvlJc w:val="left"/>
      <w:pPr>
        <w:tabs>
          <w:tab w:val="num" w:pos="3600"/>
        </w:tabs>
        <w:ind w:left="3600" w:hanging="360"/>
      </w:pPr>
      <w:rPr>
        <w:rFonts w:ascii="Times New Roman" w:hAnsi="Times New Roman" w:hint="default"/>
      </w:rPr>
    </w:lvl>
    <w:lvl w:ilvl="5" w:tplc="9994470C" w:tentative="1">
      <w:start w:val="1"/>
      <w:numFmt w:val="bullet"/>
      <w:lvlText w:val="•"/>
      <w:lvlJc w:val="left"/>
      <w:pPr>
        <w:tabs>
          <w:tab w:val="num" w:pos="4320"/>
        </w:tabs>
        <w:ind w:left="4320" w:hanging="360"/>
      </w:pPr>
      <w:rPr>
        <w:rFonts w:ascii="Times New Roman" w:hAnsi="Times New Roman" w:hint="default"/>
      </w:rPr>
    </w:lvl>
    <w:lvl w:ilvl="6" w:tplc="E8161EC4" w:tentative="1">
      <w:start w:val="1"/>
      <w:numFmt w:val="bullet"/>
      <w:lvlText w:val="•"/>
      <w:lvlJc w:val="left"/>
      <w:pPr>
        <w:tabs>
          <w:tab w:val="num" w:pos="5040"/>
        </w:tabs>
        <w:ind w:left="5040" w:hanging="360"/>
      </w:pPr>
      <w:rPr>
        <w:rFonts w:ascii="Times New Roman" w:hAnsi="Times New Roman" w:hint="default"/>
      </w:rPr>
    </w:lvl>
    <w:lvl w:ilvl="7" w:tplc="B6124634" w:tentative="1">
      <w:start w:val="1"/>
      <w:numFmt w:val="bullet"/>
      <w:lvlText w:val="•"/>
      <w:lvlJc w:val="left"/>
      <w:pPr>
        <w:tabs>
          <w:tab w:val="num" w:pos="5760"/>
        </w:tabs>
        <w:ind w:left="5760" w:hanging="360"/>
      </w:pPr>
      <w:rPr>
        <w:rFonts w:ascii="Times New Roman" w:hAnsi="Times New Roman" w:hint="default"/>
      </w:rPr>
    </w:lvl>
    <w:lvl w:ilvl="8" w:tplc="CE96F1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842C43"/>
    <w:multiLevelType w:val="hybridMultilevel"/>
    <w:tmpl w:val="FFB2130E"/>
    <w:lvl w:ilvl="0" w:tplc="970E8DF6">
      <w:start w:val="1"/>
      <w:numFmt w:val="decimal"/>
      <w:lvlText w:val="REQUEST FOR DISCLOSURE NO. %1:"/>
      <w:lvlJc w:val="left"/>
      <w:pPr>
        <w:tabs>
          <w:tab w:val="num" w:pos="720"/>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9459B0"/>
    <w:multiLevelType w:val="hybridMultilevel"/>
    <w:tmpl w:val="D5F6F24A"/>
    <w:lvl w:ilvl="0" w:tplc="AC56FA80">
      <w:start w:val="1"/>
      <w:numFmt w:val="bullet"/>
      <w:lvlText w:val="•"/>
      <w:lvlJc w:val="left"/>
      <w:pPr>
        <w:tabs>
          <w:tab w:val="num" w:pos="720"/>
        </w:tabs>
        <w:ind w:left="720" w:hanging="360"/>
      </w:pPr>
      <w:rPr>
        <w:rFonts w:ascii="Arial" w:hAnsi="Arial" w:hint="default"/>
      </w:rPr>
    </w:lvl>
    <w:lvl w:ilvl="1" w:tplc="8FBC9C00" w:tentative="1">
      <w:start w:val="1"/>
      <w:numFmt w:val="bullet"/>
      <w:lvlText w:val="•"/>
      <w:lvlJc w:val="left"/>
      <w:pPr>
        <w:tabs>
          <w:tab w:val="num" w:pos="1440"/>
        </w:tabs>
        <w:ind w:left="1440" w:hanging="360"/>
      </w:pPr>
      <w:rPr>
        <w:rFonts w:ascii="Arial" w:hAnsi="Arial" w:hint="default"/>
      </w:rPr>
    </w:lvl>
    <w:lvl w:ilvl="2" w:tplc="4380E9CA" w:tentative="1">
      <w:start w:val="1"/>
      <w:numFmt w:val="bullet"/>
      <w:lvlText w:val="•"/>
      <w:lvlJc w:val="left"/>
      <w:pPr>
        <w:tabs>
          <w:tab w:val="num" w:pos="2160"/>
        </w:tabs>
        <w:ind w:left="2160" w:hanging="360"/>
      </w:pPr>
      <w:rPr>
        <w:rFonts w:ascii="Arial" w:hAnsi="Arial" w:hint="default"/>
      </w:rPr>
    </w:lvl>
    <w:lvl w:ilvl="3" w:tplc="7DB4F320" w:tentative="1">
      <w:start w:val="1"/>
      <w:numFmt w:val="bullet"/>
      <w:lvlText w:val="•"/>
      <w:lvlJc w:val="left"/>
      <w:pPr>
        <w:tabs>
          <w:tab w:val="num" w:pos="2880"/>
        </w:tabs>
        <w:ind w:left="2880" w:hanging="360"/>
      </w:pPr>
      <w:rPr>
        <w:rFonts w:ascii="Arial" w:hAnsi="Arial" w:hint="default"/>
      </w:rPr>
    </w:lvl>
    <w:lvl w:ilvl="4" w:tplc="B20AD0A8" w:tentative="1">
      <w:start w:val="1"/>
      <w:numFmt w:val="bullet"/>
      <w:lvlText w:val="•"/>
      <w:lvlJc w:val="left"/>
      <w:pPr>
        <w:tabs>
          <w:tab w:val="num" w:pos="3600"/>
        </w:tabs>
        <w:ind w:left="3600" w:hanging="360"/>
      </w:pPr>
      <w:rPr>
        <w:rFonts w:ascii="Arial" w:hAnsi="Arial" w:hint="default"/>
      </w:rPr>
    </w:lvl>
    <w:lvl w:ilvl="5" w:tplc="7BC82AAA" w:tentative="1">
      <w:start w:val="1"/>
      <w:numFmt w:val="bullet"/>
      <w:lvlText w:val="•"/>
      <w:lvlJc w:val="left"/>
      <w:pPr>
        <w:tabs>
          <w:tab w:val="num" w:pos="4320"/>
        </w:tabs>
        <w:ind w:left="4320" w:hanging="360"/>
      </w:pPr>
      <w:rPr>
        <w:rFonts w:ascii="Arial" w:hAnsi="Arial" w:hint="default"/>
      </w:rPr>
    </w:lvl>
    <w:lvl w:ilvl="6" w:tplc="4810FB96" w:tentative="1">
      <w:start w:val="1"/>
      <w:numFmt w:val="bullet"/>
      <w:lvlText w:val="•"/>
      <w:lvlJc w:val="left"/>
      <w:pPr>
        <w:tabs>
          <w:tab w:val="num" w:pos="5040"/>
        </w:tabs>
        <w:ind w:left="5040" w:hanging="360"/>
      </w:pPr>
      <w:rPr>
        <w:rFonts w:ascii="Arial" w:hAnsi="Arial" w:hint="default"/>
      </w:rPr>
    </w:lvl>
    <w:lvl w:ilvl="7" w:tplc="3438B93E" w:tentative="1">
      <w:start w:val="1"/>
      <w:numFmt w:val="bullet"/>
      <w:lvlText w:val="•"/>
      <w:lvlJc w:val="left"/>
      <w:pPr>
        <w:tabs>
          <w:tab w:val="num" w:pos="5760"/>
        </w:tabs>
        <w:ind w:left="5760" w:hanging="360"/>
      </w:pPr>
      <w:rPr>
        <w:rFonts w:ascii="Arial" w:hAnsi="Arial" w:hint="default"/>
      </w:rPr>
    </w:lvl>
    <w:lvl w:ilvl="8" w:tplc="23ACCA5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7A4CC1"/>
    <w:multiLevelType w:val="hybridMultilevel"/>
    <w:tmpl w:val="74B6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D7DD4"/>
    <w:multiLevelType w:val="hybridMultilevel"/>
    <w:tmpl w:val="0A7A5ACE"/>
    <w:lvl w:ilvl="0" w:tplc="E8E4F490">
      <w:start w:val="1"/>
      <w:numFmt w:val="bullet"/>
      <w:lvlText w:val="○"/>
      <w:lvlJc w:val="left"/>
      <w:pPr>
        <w:tabs>
          <w:tab w:val="num" w:pos="720"/>
        </w:tabs>
        <w:ind w:left="720" w:hanging="360"/>
      </w:pPr>
      <w:rPr>
        <w:rFonts w:ascii="Arial" w:hAnsi="Arial" w:hint="default"/>
      </w:rPr>
    </w:lvl>
    <w:lvl w:ilvl="1" w:tplc="FD2880B2">
      <w:start w:val="67"/>
      <w:numFmt w:val="bullet"/>
      <w:lvlText w:val="−"/>
      <w:lvlJc w:val="left"/>
      <w:pPr>
        <w:tabs>
          <w:tab w:val="num" w:pos="1440"/>
        </w:tabs>
        <w:ind w:left="1440" w:hanging="360"/>
      </w:pPr>
      <w:rPr>
        <w:rFonts w:ascii="Trebuchet MS" w:hAnsi="Trebuchet MS" w:hint="default"/>
      </w:rPr>
    </w:lvl>
    <w:lvl w:ilvl="2" w:tplc="D3DA0A9A" w:tentative="1">
      <w:start w:val="1"/>
      <w:numFmt w:val="bullet"/>
      <w:lvlText w:val="○"/>
      <w:lvlJc w:val="left"/>
      <w:pPr>
        <w:tabs>
          <w:tab w:val="num" w:pos="2160"/>
        </w:tabs>
        <w:ind w:left="2160" w:hanging="360"/>
      </w:pPr>
      <w:rPr>
        <w:rFonts w:ascii="Arial" w:hAnsi="Arial" w:hint="default"/>
      </w:rPr>
    </w:lvl>
    <w:lvl w:ilvl="3" w:tplc="1DDC0314" w:tentative="1">
      <w:start w:val="1"/>
      <w:numFmt w:val="bullet"/>
      <w:lvlText w:val="○"/>
      <w:lvlJc w:val="left"/>
      <w:pPr>
        <w:tabs>
          <w:tab w:val="num" w:pos="2880"/>
        </w:tabs>
        <w:ind w:left="2880" w:hanging="360"/>
      </w:pPr>
      <w:rPr>
        <w:rFonts w:ascii="Arial" w:hAnsi="Arial" w:hint="default"/>
      </w:rPr>
    </w:lvl>
    <w:lvl w:ilvl="4" w:tplc="6F548A04" w:tentative="1">
      <w:start w:val="1"/>
      <w:numFmt w:val="bullet"/>
      <w:lvlText w:val="○"/>
      <w:lvlJc w:val="left"/>
      <w:pPr>
        <w:tabs>
          <w:tab w:val="num" w:pos="3600"/>
        </w:tabs>
        <w:ind w:left="3600" w:hanging="360"/>
      </w:pPr>
      <w:rPr>
        <w:rFonts w:ascii="Arial" w:hAnsi="Arial" w:hint="default"/>
      </w:rPr>
    </w:lvl>
    <w:lvl w:ilvl="5" w:tplc="22ACAAC6" w:tentative="1">
      <w:start w:val="1"/>
      <w:numFmt w:val="bullet"/>
      <w:lvlText w:val="○"/>
      <w:lvlJc w:val="left"/>
      <w:pPr>
        <w:tabs>
          <w:tab w:val="num" w:pos="4320"/>
        </w:tabs>
        <w:ind w:left="4320" w:hanging="360"/>
      </w:pPr>
      <w:rPr>
        <w:rFonts w:ascii="Arial" w:hAnsi="Arial" w:hint="default"/>
      </w:rPr>
    </w:lvl>
    <w:lvl w:ilvl="6" w:tplc="04CE9166" w:tentative="1">
      <w:start w:val="1"/>
      <w:numFmt w:val="bullet"/>
      <w:lvlText w:val="○"/>
      <w:lvlJc w:val="left"/>
      <w:pPr>
        <w:tabs>
          <w:tab w:val="num" w:pos="5040"/>
        </w:tabs>
        <w:ind w:left="5040" w:hanging="360"/>
      </w:pPr>
      <w:rPr>
        <w:rFonts w:ascii="Arial" w:hAnsi="Arial" w:hint="default"/>
      </w:rPr>
    </w:lvl>
    <w:lvl w:ilvl="7" w:tplc="83E0B5AA" w:tentative="1">
      <w:start w:val="1"/>
      <w:numFmt w:val="bullet"/>
      <w:lvlText w:val="○"/>
      <w:lvlJc w:val="left"/>
      <w:pPr>
        <w:tabs>
          <w:tab w:val="num" w:pos="5760"/>
        </w:tabs>
        <w:ind w:left="5760" w:hanging="360"/>
      </w:pPr>
      <w:rPr>
        <w:rFonts w:ascii="Arial" w:hAnsi="Arial" w:hint="default"/>
      </w:rPr>
    </w:lvl>
    <w:lvl w:ilvl="8" w:tplc="EEBC62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361E02"/>
    <w:multiLevelType w:val="hybridMultilevel"/>
    <w:tmpl w:val="BB38EB16"/>
    <w:lvl w:ilvl="0" w:tplc="5A7A8816">
      <w:start w:val="1"/>
      <w:numFmt w:val="bullet"/>
      <w:lvlText w:val="•"/>
      <w:lvlJc w:val="left"/>
      <w:pPr>
        <w:tabs>
          <w:tab w:val="num" w:pos="720"/>
        </w:tabs>
        <w:ind w:left="720" w:hanging="360"/>
      </w:pPr>
      <w:rPr>
        <w:rFonts w:ascii="Times New Roman" w:hAnsi="Times New Roman" w:hint="default"/>
      </w:rPr>
    </w:lvl>
    <w:lvl w:ilvl="1" w:tplc="4830BDC6" w:tentative="1">
      <w:start w:val="1"/>
      <w:numFmt w:val="bullet"/>
      <w:lvlText w:val="•"/>
      <w:lvlJc w:val="left"/>
      <w:pPr>
        <w:tabs>
          <w:tab w:val="num" w:pos="1440"/>
        </w:tabs>
        <w:ind w:left="1440" w:hanging="360"/>
      </w:pPr>
      <w:rPr>
        <w:rFonts w:ascii="Times New Roman" w:hAnsi="Times New Roman" w:hint="default"/>
      </w:rPr>
    </w:lvl>
    <w:lvl w:ilvl="2" w:tplc="C92E6E66" w:tentative="1">
      <w:start w:val="1"/>
      <w:numFmt w:val="bullet"/>
      <w:lvlText w:val="•"/>
      <w:lvlJc w:val="left"/>
      <w:pPr>
        <w:tabs>
          <w:tab w:val="num" w:pos="2160"/>
        </w:tabs>
        <w:ind w:left="2160" w:hanging="360"/>
      </w:pPr>
      <w:rPr>
        <w:rFonts w:ascii="Times New Roman" w:hAnsi="Times New Roman" w:hint="default"/>
      </w:rPr>
    </w:lvl>
    <w:lvl w:ilvl="3" w:tplc="E2A44C3E" w:tentative="1">
      <w:start w:val="1"/>
      <w:numFmt w:val="bullet"/>
      <w:lvlText w:val="•"/>
      <w:lvlJc w:val="left"/>
      <w:pPr>
        <w:tabs>
          <w:tab w:val="num" w:pos="2880"/>
        </w:tabs>
        <w:ind w:left="2880" w:hanging="360"/>
      </w:pPr>
      <w:rPr>
        <w:rFonts w:ascii="Times New Roman" w:hAnsi="Times New Roman" w:hint="default"/>
      </w:rPr>
    </w:lvl>
    <w:lvl w:ilvl="4" w:tplc="59048700" w:tentative="1">
      <w:start w:val="1"/>
      <w:numFmt w:val="bullet"/>
      <w:lvlText w:val="•"/>
      <w:lvlJc w:val="left"/>
      <w:pPr>
        <w:tabs>
          <w:tab w:val="num" w:pos="3600"/>
        </w:tabs>
        <w:ind w:left="3600" w:hanging="360"/>
      </w:pPr>
      <w:rPr>
        <w:rFonts w:ascii="Times New Roman" w:hAnsi="Times New Roman" w:hint="default"/>
      </w:rPr>
    </w:lvl>
    <w:lvl w:ilvl="5" w:tplc="7724234C" w:tentative="1">
      <w:start w:val="1"/>
      <w:numFmt w:val="bullet"/>
      <w:lvlText w:val="•"/>
      <w:lvlJc w:val="left"/>
      <w:pPr>
        <w:tabs>
          <w:tab w:val="num" w:pos="4320"/>
        </w:tabs>
        <w:ind w:left="4320" w:hanging="360"/>
      </w:pPr>
      <w:rPr>
        <w:rFonts w:ascii="Times New Roman" w:hAnsi="Times New Roman" w:hint="default"/>
      </w:rPr>
    </w:lvl>
    <w:lvl w:ilvl="6" w:tplc="5DA2779C" w:tentative="1">
      <w:start w:val="1"/>
      <w:numFmt w:val="bullet"/>
      <w:lvlText w:val="•"/>
      <w:lvlJc w:val="left"/>
      <w:pPr>
        <w:tabs>
          <w:tab w:val="num" w:pos="5040"/>
        </w:tabs>
        <w:ind w:left="5040" w:hanging="360"/>
      </w:pPr>
      <w:rPr>
        <w:rFonts w:ascii="Times New Roman" w:hAnsi="Times New Roman" w:hint="default"/>
      </w:rPr>
    </w:lvl>
    <w:lvl w:ilvl="7" w:tplc="40F8F186" w:tentative="1">
      <w:start w:val="1"/>
      <w:numFmt w:val="bullet"/>
      <w:lvlText w:val="•"/>
      <w:lvlJc w:val="left"/>
      <w:pPr>
        <w:tabs>
          <w:tab w:val="num" w:pos="5760"/>
        </w:tabs>
        <w:ind w:left="5760" w:hanging="360"/>
      </w:pPr>
      <w:rPr>
        <w:rFonts w:ascii="Times New Roman" w:hAnsi="Times New Roman" w:hint="default"/>
      </w:rPr>
    </w:lvl>
    <w:lvl w:ilvl="8" w:tplc="3338738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C2D62AE"/>
    <w:multiLevelType w:val="hybridMultilevel"/>
    <w:tmpl w:val="07269050"/>
    <w:lvl w:ilvl="0" w:tplc="FB187250">
      <w:start w:val="1"/>
      <w:numFmt w:val="bullet"/>
      <w:lvlText w:val="○"/>
      <w:lvlJc w:val="left"/>
      <w:pPr>
        <w:tabs>
          <w:tab w:val="num" w:pos="720"/>
        </w:tabs>
        <w:ind w:left="720" w:hanging="360"/>
      </w:pPr>
      <w:rPr>
        <w:rFonts w:ascii="Arial" w:hAnsi="Arial" w:hint="default"/>
      </w:rPr>
    </w:lvl>
    <w:lvl w:ilvl="1" w:tplc="F28ED13E">
      <w:start w:val="67"/>
      <w:numFmt w:val="bullet"/>
      <w:lvlText w:val="−"/>
      <w:lvlJc w:val="left"/>
      <w:pPr>
        <w:tabs>
          <w:tab w:val="num" w:pos="1440"/>
        </w:tabs>
        <w:ind w:left="1440" w:hanging="360"/>
      </w:pPr>
      <w:rPr>
        <w:rFonts w:ascii="Trebuchet MS" w:hAnsi="Trebuchet MS" w:hint="default"/>
      </w:rPr>
    </w:lvl>
    <w:lvl w:ilvl="2" w:tplc="E918C376" w:tentative="1">
      <w:start w:val="1"/>
      <w:numFmt w:val="bullet"/>
      <w:lvlText w:val="○"/>
      <w:lvlJc w:val="left"/>
      <w:pPr>
        <w:tabs>
          <w:tab w:val="num" w:pos="2160"/>
        </w:tabs>
        <w:ind w:left="2160" w:hanging="360"/>
      </w:pPr>
      <w:rPr>
        <w:rFonts w:ascii="Arial" w:hAnsi="Arial" w:hint="default"/>
      </w:rPr>
    </w:lvl>
    <w:lvl w:ilvl="3" w:tplc="175C7828" w:tentative="1">
      <w:start w:val="1"/>
      <w:numFmt w:val="bullet"/>
      <w:lvlText w:val="○"/>
      <w:lvlJc w:val="left"/>
      <w:pPr>
        <w:tabs>
          <w:tab w:val="num" w:pos="2880"/>
        </w:tabs>
        <w:ind w:left="2880" w:hanging="360"/>
      </w:pPr>
      <w:rPr>
        <w:rFonts w:ascii="Arial" w:hAnsi="Arial" w:hint="default"/>
      </w:rPr>
    </w:lvl>
    <w:lvl w:ilvl="4" w:tplc="0666E5C6" w:tentative="1">
      <w:start w:val="1"/>
      <w:numFmt w:val="bullet"/>
      <w:lvlText w:val="○"/>
      <w:lvlJc w:val="left"/>
      <w:pPr>
        <w:tabs>
          <w:tab w:val="num" w:pos="3600"/>
        </w:tabs>
        <w:ind w:left="3600" w:hanging="360"/>
      </w:pPr>
      <w:rPr>
        <w:rFonts w:ascii="Arial" w:hAnsi="Arial" w:hint="default"/>
      </w:rPr>
    </w:lvl>
    <w:lvl w:ilvl="5" w:tplc="8C38E77C" w:tentative="1">
      <w:start w:val="1"/>
      <w:numFmt w:val="bullet"/>
      <w:lvlText w:val="○"/>
      <w:lvlJc w:val="left"/>
      <w:pPr>
        <w:tabs>
          <w:tab w:val="num" w:pos="4320"/>
        </w:tabs>
        <w:ind w:left="4320" w:hanging="360"/>
      </w:pPr>
      <w:rPr>
        <w:rFonts w:ascii="Arial" w:hAnsi="Arial" w:hint="default"/>
      </w:rPr>
    </w:lvl>
    <w:lvl w:ilvl="6" w:tplc="2ACAFBD2" w:tentative="1">
      <w:start w:val="1"/>
      <w:numFmt w:val="bullet"/>
      <w:lvlText w:val="○"/>
      <w:lvlJc w:val="left"/>
      <w:pPr>
        <w:tabs>
          <w:tab w:val="num" w:pos="5040"/>
        </w:tabs>
        <w:ind w:left="5040" w:hanging="360"/>
      </w:pPr>
      <w:rPr>
        <w:rFonts w:ascii="Arial" w:hAnsi="Arial" w:hint="default"/>
      </w:rPr>
    </w:lvl>
    <w:lvl w:ilvl="7" w:tplc="74F076A8" w:tentative="1">
      <w:start w:val="1"/>
      <w:numFmt w:val="bullet"/>
      <w:lvlText w:val="○"/>
      <w:lvlJc w:val="left"/>
      <w:pPr>
        <w:tabs>
          <w:tab w:val="num" w:pos="5760"/>
        </w:tabs>
        <w:ind w:left="5760" w:hanging="360"/>
      </w:pPr>
      <w:rPr>
        <w:rFonts w:ascii="Arial" w:hAnsi="Arial" w:hint="default"/>
      </w:rPr>
    </w:lvl>
    <w:lvl w:ilvl="8" w:tplc="6A9C51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232B12"/>
    <w:multiLevelType w:val="hybridMultilevel"/>
    <w:tmpl w:val="127200E6"/>
    <w:lvl w:ilvl="0" w:tplc="EE3030B6">
      <w:start w:val="1"/>
      <w:numFmt w:val="bullet"/>
      <w:lvlText w:val="•"/>
      <w:lvlJc w:val="left"/>
      <w:pPr>
        <w:tabs>
          <w:tab w:val="num" w:pos="720"/>
        </w:tabs>
        <w:ind w:left="720" w:hanging="360"/>
      </w:pPr>
      <w:rPr>
        <w:rFonts w:ascii="Times New Roman" w:hAnsi="Times New Roman" w:hint="default"/>
      </w:rPr>
    </w:lvl>
    <w:lvl w:ilvl="1" w:tplc="142673E6">
      <w:start w:val="67"/>
      <w:numFmt w:val="bullet"/>
      <w:lvlText w:val="•"/>
      <w:lvlJc w:val="left"/>
      <w:pPr>
        <w:tabs>
          <w:tab w:val="num" w:pos="1440"/>
        </w:tabs>
        <w:ind w:left="1440" w:hanging="360"/>
      </w:pPr>
      <w:rPr>
        <w:rFonts w:ascii="Times New Roman" w:hAnsi="Times New Roman" w:hint="default"/>
      </w:rPr>
    </w:lvl>
    <w:lvl w:ilvl="2" w:tplc="E272E98E" w:tentative="1">
      <w:start w:val="1"/>
      <w:numFmt w:val="bullet"/>
      <w:lvlText w:val="•"/>
      <w:lvlJc w:val="left"/>
      <w:pPr>
        <w:tabs>
          <w:tab w:val="num" w:pos="2160"/>
        </w:tabs>
        <w:ind w:left="2160" w:hanging="360"/>
      </w:pPr>
      <w:rPr>
        <w:rFonts w:ascii="Times New Roman" w:hAnsi="Times New Roman" w:hint="default"/>
      </w:rPr>
    </w:lvl>
    <w:lvl w:ilvl="3" w:tplc="6DE459C4" w:tentative="1">
      <w:start w:val="1"/>
      <w:numFmt w:val="bullet"/>
      <w:lvlText w:val="•"/>
      <w:lvlJc w:val="left"/>
      <w:pPr>
        <w:tabs>
          <w:tab w:val="num" w:pos="2880"/>
        </w:tabs>
        <w:ind w:left="2880" w:hanging="360"/>
      </w:pPr>
      <w:rPr>
        <w:rFonts w:ascii="Times New Roman" w:hAnsi="Times New Roman" w:hint="default"/>
      </w:rPr>
    </w:lvl>
    <w:lvl w:ilvl="4" w:tplc="12AE19E4" w:tentative="1">
      <w:start w:val="1"/>
      <w:numFmt w:val="bullet"/>
      <w:lvlText w:val="•"/>
      <w:lvlJc w:val="left"/>
      <w:pPr>
        <w:tabs>
          <w:tab w:val="num" w:pos="3600"/>
        </w:tabs>
        <w:ind w:left="3600" w:hanging="360"/>
      </w:pPr>
      <w:rPr>
        <w:rFonts w:ascii="Times New Roman" w:hAnsi="Times New Roman" w:hint="default"/>
      </w:rPr>
    </w:lvl>
    <w:lvl w:ilvl="5" w:tplc="AC1C5786" w:tentative="1">
      <w:start w:val="1"/>
      <w:numFmt w:val="bullet"/>
      <w:lvlText w:val="•"/>
      <w:lvlJc w:val="left"/>
      <w:pPr>
        <w:tabs>
          <w:tab w:val="num" w:pos="4320"/>
        </w:tabs>
        <w:ind w:left="4320" w:hanging="360"/>
      </w:pPr>
      <w:rPr>
        <w:rFonts w:ascii="Times New Roman" w:hAnsi="Times New Roman" w:hint="default"/>
      </w:rPr>
    </w:lvl>
    <w:lvl w:ilvl="6" w:tplc="152C7BA8" w:tentative="1">
      <w:start w:val="1"/>
      <w:numFmt w:val="bullet"/>
      <w:lvlText w:val="•"/>
      <w:lvlJc w:val="left"/>
      <w:pPr>
        <w:tabs>
          <w:tab w:val="num" w:pos="5040"/>
        </w:tabs>
        <w:ind w:left="5040" w:hanging="360"/>
      </w:pPr>
      <w:rPr>
        <w:rFonts w:ascii="Times New Roman" w:hAnsi="Times New Roman" w:hint="default"/>
      </w:rPr>
    </w:lvl>
    <w:lvl w:ilvl="7" w:tplc="3DAA12F0" w:tentative="1">
      <w:start w:val="1"/>
      <w:numFmt w:val="bullet"/>
      <w:lvlText w:val="•"/>
      <w:lvlJc w:val="left"/>
      <w:pPr>
        <w:tabs>
          <w:tab w:val="num" w:pos="5760"/>
        </w:tabs>
        <w:ind w:left="5760" w:hanging="360"/>
      </w:pPr>
      <w:rPr>
        <w:rFonts w:ascii="Times New Roman" w:hAnsi="Times New Roman" w:hint="default"/>
      </w:rPr>
    </w:lvl>
    <w:lvl w:ilvl="8" w:tplc="FF0AEE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E31FC3"/>
    <w:multiLevelType w:val="hybridMultilevel"/>
    <w:tmpl w:val="7DA83D0E"/>
    <w:lvl w:ilvl="0" w:tplc="C4A0D5EA">
      <w:start w:val="1"/>
      <w:numFmt w:val="bullet"/>
      <w:lvlText w:val="•"/>
      <w:lvlJc w:val="left"/>
      <w:pPr>
        <w:tabs>
          <w:tab w:val="num" w:pos="720"/>
        </w:tabs>
        <w:ind w:left="720" w:hanging="360"/>
      </w:pPr>
      <w:rPr>
        <w:rFonts w:ascii="Arial" w:hAnsi="Arial" w:hint="default"/>
      </w:rPr>
    </w:lvl>
    <w:lvl w:ilvl="1" w:tplc="01A6AFFC">
      <w:start w:val="67"/>
      <w:numFmt w:val="bullet"/>
      <w:lvlText w:val="•"/>
      <w:lvlJc w:val="left"/>
      <w:pPr>
        <w:tabs>
          <w:tab w:val="num" w:pos="1440"/>
        </w:tabs>
        <w:ind w:left="1440" w:hanging="360"/>
      </w:pPr>
      <w:rPr>
        <w:rFonts w:ascii="Arial" w:hAnsi="Arial" w:hint="default"/>
      </w:rPr>
    </w:lvl>
    <w:lvl w:ilvl="2" w:tplc="08C61322" w:tentative="1">
      <w:start w:val="1"/>
      <w:numFmt w:val="bullet"/>
      <w:lvlText w:val="•"/>
      <w:lvlJc w:val="left"/>
      <w:pPr>
        <w:tabs>
          <w:tab w:val="num" w:pos="2160"/>
        </w:tabs>
        <w:ind w:left="2160" w:hanging="360"/>
      </w:pPr>
      <w:rPr>
        <w:rFonts w:ascii="Arial" w:hAnsi="Arial" w:hint="default"/>
      </w:rPr>
    </w:lvl>
    <w:lvl w:ilvl="3" w:tplc="5DB2E108" w:tentative="1">
      <w:start w:val="1"/>
      <w:numFmt w:val="bullet"/>
      <w:lvlText w:val="•"/>
      <w:lvlJc w:val="left"/>
      <w:pPr>
        <w:tabs>
          <w:tab w:val="num" w:pos="2880"/>
        </w:tabs>
        <w:ind w:left="2880" w:hanging="360"/>
      </w:pPr>
      <w:rPr>
        <w:rFonts w:ascii="Arial" w:hAnsi="Arial" w:hint="default"/>
      </w:rPr>
    </w:lvl>
    <w:lvl w:ilvl="4" w:tplc="77881140" w:tentative="1">
      <w:start w:val="1"/>
      <w:numFmt w:val="bullet"/>
      <w:lvlText w:val="•"/>
      <w:lvlJc w:val="left"/>
      <w:pPr>
        <w:tabs>
          <w:tab w:val="num" w:pos="3600"/>
        </w:tabs>
        <w:ind w:left="3600" w:hanging="360"/>
      </w:pPr>
      <w:rPr>
        <w:rFonts w:ascii="Arial" w:hAnsi="Arial" w:hint="default"/>
      </w:rPr>
    </w:lvl>
    <w:lvl w:ilvl="5" w:tplc="1C2657BC" w:tentative="1">
      <w:start w:val="1"/>
      <w:numFmt w:val="bullet"/>
      <w:lvlText w:val="•"/>
      <w:lvlJc w:val="left"/>
      <w:pPr>
        <w:tabs>
          <w:tab w:val="num" w:pos="4320"/>
        </w:tabs>
        <w:ind w:left="4320" w:hanging="360"/>
      </w:pPr>
      <w:rPr>
        <w:rFonts w:ascii="Arial" w:hAnsi="Arial" w:hint="default"/>
      </w:rPr>
    </w:lvl>
    <w:lvl w:ilvl="6" w:tplc="2812AEE6" w:tentative="1">
      <w:start w:val="1"/>
      <w:numFmt w:val="bullet"/>
      <w:lvlText w:val="•"/>
      <w:lvlJc w:val="left"/>
      <w:pPr>
        <w:tabs>
          <w:tab w:val="num" w:pos="5040"/>
        </w:tabs>
        <w:ind w:left="5040" w:hanging="360"/>
      </w:pPr>
      <w:rPr>
        <w:rFonts w:ascii="Arial" w:hAnsi="Arial" w:hint="default"/>
      </w:rPr>
    </w:lvl>
    <w:lvl w:ilvl="7" w:tplc="196CC2F4" w:tentative="1">
      <w:start w:val="1"/>
      <w:numFmt w:val="bullet"/>
      <w:lvlText w:val="•"/>
      <w:lvlJc w:val="left"/>
      <w:pPr>
        <w:tabs>
          <w:tab w:val="num" w:pos="5760"/>
        </w:tabs>
        <w:ind w:left="5760" w:hanging="360"/>
      </w:pPr>
      <w:rPr>
        <w:rFonts w:ascii="Arial" w:hAnsi="Arial" w:hint="default"/>
      </w:rPr>
    </w:lvl>
    <w:lvl w:ilvl="8" w:tplc="A4D041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7136D6"/>
    <w:multiLevelType w:val="hybridMultilevel"/>
    <w:tmpl w:val="0090D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1"/>
  </w:num>
  <w:num w:numId="23">
    <w:abstractNumId w:val="19"/>
  </w:num>
  <w:num w:numId="24">
    <w:abstractNumId w:val="11"/>
  </w:num>
  <w:num w:numId="25">
    <w:abstractNumId w:val="8"/>
  </w:num>
  <w:num w:numId="26">
    <w:abstractNumId w:val="9"/>
  </w:num>
  <w:num w:numId="27">
    <w:abstractNumId w:val="23"/>
  </w:num>
  <w:num w:numId="28">
    <w:abstractNumId w:val="13"/>
  </w:num>
  <w:num w:numId="29">
    <w:abstractNumId w:val="25"/>
  </w:num>
  <w:num w:numId="30">
    <w:abstractNumId w:val="10"/>
  </w:num>
  <w:num w:numId="31">
    <w:abstractNumId w:val="17"/>
  </w:num>
  <w:num w:numId="32">
    <w:abstractNumId w:val="20"/>
  </w:num>
  <w:num w:numId="33">
    <w:abstractNumId w:val="26"/>
  </w:num>
  <w:num w:numId="34">
    <w:abstractNumId w:val="18"/>
  </w:num>
  <w:num w:numId="35">
    <w:abstractNumId w:val="22"/>
  </w:num>
  <w:num w:numId="36">
    <w:abstractNumId w:val="24"/>
  </w:num>
  <w:num w:numId="37">
    <w:abstractNumId w:val="16"/>
  </w:num>
  <w:num w:numId="38">
    <w:abstractNumId w:val="21"/>
  </w:num>
  <w:num w:numId="39">
    <w:abstractNumId w:val="15"/>
  </w:num>
  <w:num w:numId="40">
    <w:abstractNumId w:val="27"/>
  </w:num>
  <w:num w:numId="41">
    <w:abstractNumId w:val="14"/>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A3"/>
    <w:rsid w:val="000424C4"/>
    <w:rsid w:val="0007099F"/>
    <w:rsid w:val="00092140"/>
    <w:rsid w:val="000A5A75"/>
    <w:rsid w:val="000D1ADD"/>
    <w:rsid w:val="000E1899"/>
    <w:rsid w:val="000F35C9"/>
    <w:rsid w:val="00112BBD"/>
    <w:rsid w:val="00132F16"/>
    <w:rsid w:val="00137E7C"/>
    <w:rsid w:val="00143A4C"/>
    <w:rsid w:val="00180BDA"/>
    <w:rsid w:val="001A74FC"/>
    <w:rsid w:val="001B1035"/>
    <w:rsid w:val="001C10C4"/>
    <w:rsid w:val="001E1351"/>
    <w:rsid w:val="002120DC"/>
    <w:rsid w:val="002645A1"/>
    <w:rsid w:val="00266E81"/>
    <w:rsid w:val="002823B2"/>
    <w:rsid w:val="002D0968"/>
    <w:rsid w:val="0035484D"/>
    <w:rsid w:val="00360CF8"/>
    <w:rsid w:val="00373EF2"/>
    <w:rsid w:val="003A422C"/>
    <w:rsid w:val="003F7B0D"/>
    <w:rsid w:val="004150DA"/>
    <w:rsid w:val="004313C3"/>
    <w:rsid w:val="0044226E"/>
    <w:rsid w:val="004729A3"/>
    <w:rsid w:val="00483D2C"/>
    <w:rsid w:val="004A65AF"/>
    <w:rsid w:val="004B3B4B"/>
    <w:rsid w:val="004D3D5D"/>
    <w:rsid w:val="004F706C"/>
    <w:rsid w:val="005143BD"/>
    <w:rsid w:val="00560C19"/>
    <w:rsid w:val="005627A7"/>
    <w:rsid w:val="005655D4"/>
    <w:rsid w:val="005A6732"/>
    <w:rsid w:val="005A74A6"/>
    <w:rsid w:val="005B7474"/>
    <w:rsid w:val="00647F2B"/>
    <w:rsid w:val="00652491"/>
    <w:rsid w:val="006536F1"/>
    <w:rsid w:val="006618FB"/>
    <w:rsid w:val="0068232B"/>
    <w:rsid w:val="0073564C"/>
    <w:rsid w:val="0074740D"/>
    <w:rsid w:val="00764698"/>
    <w:rsid w:val="0078473D"/>
    <w:rsid w:val="007D7CE2"/>
    <w:rsid w:val="00872DE3"/>
    <w:rsid w:val="008A0C4E"/>
    <w:rsid w:val="008A4DEA"/>
    <w:rsid w:val="00900FCC"/>
    <w:rsid w:val="00926804"/>
    <w:rsid w:val="00935F23"/>
    <w:rsid w:val="009421BF"/>
    <w:rsid w:val="00966D02"/>
    <w:rsid w:val="009756BE"/>
    <w:rsid w:val="009A478E"/>
    <w:rsid w:val="009C5B1B"/>
    <w:rsid w:val="00A02EDA"/>
    <w:rsid w:val="00A02FC3"/>
    <w:rsid w:val="00A04139"/>
    <w:rsid w:val="00A17827"/>
    <w:rsid w:val="00A63361"/>
    <w:rsid w:val="00AC41DE"/>
    <w:rsid w:val="00B24014"/>
    <w:rsid w:val="00B41707"/>
    <w:rsid w:val="00B746EC"/>
    <w:rsid w:val="00BB166C"/>
    <w:rsid w:val="00BC4882"/>
    <w:rsid w:val="00BC7243"/>
    <w:rsid w:val="00C278D8"/>
    <w:rsid w:val="00C67140"/>
    <w:rsid w:val="00C722B5"/>
    <w:rsid w:val="00C94944"/>
    <w:rsid w:val="00CB09FD"/>
    <w:rsid w:val="00CB6D9C"/>
    <w:rsid w:val="00D204C1"/>
    <w:rsid w:val="00D21F24"/>
    <w:rsid w:val="00D35953"/>
    <w:rsid w:val="00DB5A17"/>
    <w:rsid w:val="00DE4DEF"/>
    <w:rsid w:val="00DF462D"/>
    <w:rsid w:val="00E0081A"/>
    <w:rsid w:val="00E5495D"/>
    <w:rsid w:val="00E6299B"/>
    <w:rsid w:val="00EA400A"/>
    <w:rsid w:val="00EB39EE"/>
    <w:rsid w:val="00F54058"/>
    <w:rsid w:val="00FD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39F6"/>
  <w15:chartTrackingRefBased/>
  <w15:docId w15:val="{D9275652-283B-481F-9FF1-05FF589E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3BD"/>
  </w:style>
  <w:style w:type="paragraph" w:styleId="Heading1">
    <w:name w:val="heading 1"/>
    <w:basedOn w:val="Normal"/>
    <w:next w:val="Heading2"/>
    <w:link w:val="Heading1Char"/>
    <w:qFormat/>
    <w:rsid w:val="005143BD"/>
    <w:pPr>
      <w:keepNext/>
      <w:spacing w:after="240"/>
      <w:outlineLvl w:val="0"/>
    </w:pPr>
    <w:rPr>
      <w:rFonts w:cs="Arial"/>
      <w:b/>
      <w:bCs/>
    </w:rPr>
  </w:style>
  <w:style w:type="paragraph" w:styleId="Heading2">
    <w:name w:val="heading 2"/>
    <w:basedOn w:val="Normal"/>
    <w:link w:val="Heading2Char"/>
    <w:qFormat/>
    <w:rsid w:val="005143BD"/>
    <w:pPr>
      <w:spacing w:after="240"/>
      <w:jc w:val="both"/>
      <w:outlineLvl w:val="1"/>
    </w:pPr>
    <w:rPr>
      <w:rFonts w:cs="Arial"/>
      <w:bCs/>
      <w:iCs/>
    </w:rPr>
  </w:style>
  <w:style w:type="paragraph" w:styleId="Heading3">
    <w:name w:val="heading 3"/>
    <w:basedOn w:val="Normal"/>
    <w:link w:val="Heading3Char"/>
    <w:qFormat/>
    <w:rsid w:val="005143BD"/>
    <w:pPr>
      <w:spacing w:after="240"/>
      <w:jc w:val="both"/>
      <w:outlineLvl w:val="2"/>
    </w:pPr>
    <w:rPr>
      <w:rFonts w:cs="Arial"/>
      <w:bCs/>
    </w:rPr>
  </w:style>
  <w:style w:type="paragraph" w:styleId="Heading4">
    <w:name w:val="heading 4"/>
    <w:basedOn w:val="Normal"/>
    <w:link w:val="Heading4Char"/>
    <w:rsid w:val="005143BD"/>
    <w:pPr>
      <w:spacing w:after="240"/>
      <w:jc w:val="both"/>
      <w:outlineLvl w:val="3"/>
    </w:pPr>
    <w:rPr>
      <w:rFonts w:cs="Times New Roman"/>
      <w:bCs/>
    </w:rPr>
  </w:style>
  <w:style w:type="paragraph" w:styleId="Heading5">
    <w:name w:val="heading 5"/>
    <w:basedOn w:val="Normal"/>
    <w:link w:val="Heading5Char"/>
    <w:unhideWhenUsed/>
    <w:rsid w:val="005143BD"/>
    <w:pPr>
      <w:spacing w:after="240"/>
      <w:jc w:val="both"/>
      <w:outlineLvl w:val="4"/>
    </w:pPr>
    <w:rPr>
      <w:rFonts w:cs="Times New Roman"/>
      <w:bCs/>
      <w:iCs/>
      <w:szCs w:val="26"/>
    </w:rPr>
  </w:style>
  <w:style w:type="paragraph" w:styleId="Heading6">
    <w:name w:val="heading 6"/>
    <w:basedOn w:val="Normal"/>
    <w:link w:val="Heading6Char"/>
    <w:unhideWhenUsed/>
    <w:rsid w:val="005143BD"/>
    <w:pPr>
      <w:spacing w:after="240"/>
      <w:jc w:val="both"/>
      <w:outlineLvl w:val="5"/>
    </w:pPr>
    <w:rPr>
      <w:rFonts w:cs="Times New Roman"/>
      <w:bCs/>
      <w:szCs w:val="22"/>
    </w:rPr>
  </w:style>
  <w:style w:type="paragraph" w:styleId="Heading7">
    <w:name w:val="heading 7"/>
    <w:basedOn w:val="Normal"/>
    <w:link w:val="Heading7Char"/>
    <w:unhideWhenUsed/>
    <w:rsid w:val="005143BD"/>
    <w:pPr>
      <w:spacing w:after="240"/>
      <w:jc w:val="both"/>
      <w:outlineLvl w:val="6"/>
    </w:pPr>
    <w:rPr>
      <w:rFonts w:cs="Times New Roman"/>
    </w:rPr>
  </w:style>
  <w:style w:type="paragraph" w:styleId="Heading8">
    <w:name w:val="heading 8"/>
    <w:basedOn w:val="Normal"/>
    <w:link w:val="Heading8Char"/>
    <w:unhideWhenUsed/>
    <w:rsid w:val="005143BD"/>
    <w:pPr>
      <w:spacing w:after="240"/>
      <w:jc w:val="both"/>
      <w:outlineLvl w:val="7"/>
    </w:pPr>
    <w:rPr>
      <w:rFonts w:cs="Times New Roman"/>
      <w:iCs/>
    </w:rPr>
  </w:style>
  <w:style w:type="paragraph" w:styleId="Heading9">
    <w:name w:val="heading 9"/>
    <w:basedOn w:val="Normal"/>
    <w:link w:val="Heading9Char"/>
    <w:unhideWhenUsed/>
    <w:rsid w:val="005143BD"/>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qFormat/>
    <w:rsid w:val="00E0081A"/>
    <w:pPr>
      <w:ind w:left="720" w:right="720"/>
    </w:pPr>
  </w:style>
  <w:style w:type="paragraph" w:customStyle="1" w:styleId="BlockText2">
    <w:name w:val="Block Text 2"/>
    <w:basedOn w:val="BlockText"/>
    <w:semiHidden/>
    <w:rsid w:val="005143BD"/>
    <w:pPr>
      <w:spacing w:after="0" w:line="480" w:lineRule="auto"/>
    </w:pPr>
  </w:style>
  <w:style w:type="paragraph" w:styleId="BodyText2">
    <w:name w:val="Body Text 2"/>
    <w:basedOn w:val="BodyText"/>
    <w:link w:val="BodyText2Char"/>
    <w:semiHidden/>
    <w:rsid w:val="005143BD"/>
    <w:pPr>
      <w:spacing w:after="0" w:line="480" w:lineRule="auto"/>
    </w:pPr>
  </w:style>
  <w:style w:type="character" w:customStyle="1" w:styleId="BodyText2Char">
    <w:name w:val="Body Text 2 Char"/>
    <w:basedOn w:val="DefaultParagraphFont"/>
    <w:link w:val="BodyText2"/>
    <w:semiHidden/>
    <w:rsid w:val="005143BD"/>
  </w:style>
  <w:style w:type="paragraph" w:styleId="BodyText3">
    <w:name w:val="Body Text 3"/>
    <w:basedOn w:val="Normal"/>
    <w:link w:val="BodyText3Char"/>
    <w:semiHidden/>
    <w:rsid w:val="005143BD"/>
    <w:pPr>
      <w:spacing w:after="120"/>
    </w:pPr>
    <w:rPr>
      <w:sz w:val="16"/>
      <w:szCs w:val="16"/>
    </w:rPr>
  </w:style>
  <w:style w:type="character" w:customStyle="1" w:styleId="BodyText3Char">
    <w:name w:val="Body Text 3 Char"/>
    <w:basedOn w:val="DefaultParagraphFont"/>
    <w:link w:val="BodyText3"/>
    <w:semiHidden/>
    <w:rsid w:val="005143BD"/>
    <w:rPr>
      <w:sz w:val="16"/>
      <w:szCs w:val="16"/>
    </w:rPr>
  </w:style>
  <w:style w:type="paragraph" w:styleId="BodyTextFirstIndent">
    <w:name w:val="Body Text First Indent"/>
    <w:basedOn w:val="BodyText"/>
    <w:link w:val="BodyTextFirstIndentChar"/>
    <w:qFormat/>
    <w:rsid w:val="00E0081A"/>
    <w:pPr>
      <w:ind w:firstLine="720"/>
    </w:pPr>
  </w:style>
  <w:style w:type="character" w:customStyle="1" w:styleId="BodyTextFirstIndentChar">
    <w:name w:val="Body Text First Indent Char"/>
    <w:basedOn w:val="DefaultParagraphFont"/>
    <w:link w:val="BodyTextFirstIndent"/>
    <w:rsid w:val="00E0081A"/>
  </w:style>
  <w:style w:type="paragraph" w:styleId="BodyTextIndent">
    <w:name w:val="Body Text Indent"/>
    <w:basedOn w:val="Normal"/>
    <w:link w:val="BodyTextIndentChar"/>
    <w:semiHidden/>
    <w:rsid w:val="005143BD"/>
    <w:pPr>
      <w:spacing w:after="120"/>
      <w:ind w:left="360"/>
    </w:pPr>
  </w:style>
  <w:style w:type="character" w:customStyle="1" w:styleId="BodyTextIndentChar">
    <w:name w:val="Body Text Indent Char"/>
    <w:basedOn w:val="DefaultParagraphFont"/>
    <w:link w:val="BodyTextIndent"/>
    <w:semiHidden/>
    <w:rsid w:val="005143BD"/>
  </w:style>
  <w:style w:type="paragraph" w:styleId="BodyTextFirstIndent2">
    <w:name w:val="Body Text First Indent 2"/>
    <w:basedOn w:val="BodyTextFirstIndent"/>
    <w:link w:val="BodyTextFirstIndent2Char"/>
    <w:semiHidden/>
    <w:rsid w:val="005143BD"/>
    <w:pPr>
      <w:spacing w:after="0" w:line="480" w:lineRule="auto"/>
    </w:pPr>
  </w:style>
  <w:style w:type="character" w:customStyle="1" w:styleId="BodyTextFirstIndent2Char">
    <w:name w:val="Body Text First Indent 2 Char"/>
    <w:basedOn w:val="BodyTextIndentChar"/>
    <w:link w:val="BodyTextFirstIndent2"/>
    <w:semiHidden/>
    <w:rsid w:val="005143BD"/>
  </w:style>
  <w:style w:type="paragraph" w:styleId="BodyTextIndent2">
    <w:name w:val="Body Text Indent 2"/>
    <w:basedOn w:val="Normal"/>
    <w:link w:val="BodyTextIndent2Char"/>
    <w:semiHidden/>
    <w:rsid w:val="005143BD"/>
    <w:pPr>
      <w:spacing w:after="120" w:line="480" w:lineRule="auto"/>
      <w:ind w:left="360"/>
    </w:pPr>
  </w:style>
  <w:style w:type="character" w:customStyle="1" w:styleId="BodyTextIndent2Char">
    <w:name w:val="Body Text Indent 2 Char"/>
    <w:basedOn w:val="DefaultParagraphFont"/>
    <w:link w:val="BodyTextIndent2"/>
    <w:semiHidden/>
    <w:rsid w:val="005143BD"/>
  </w:style>
  <w:style w:type="paragraph" w:styleId="BodyTextIndent3">
    <w:name w:val="Body Text Indent 3"/>
    <w:basedOn w:val="Normal"/>
    <w:link w:val="BodyTextIndent3Char"/>
    <w:semiHidden/>
    <w:rsid w:val="005143BD"/>
    <w:pPr>
      <w:spacing w:after="120"/>
      <w:ind w:left="360"/>
    </w:pPr>
    <w:rPr>
      <w:sz w:val="16"/>
      <w:szCs w:val="16"/>
    </w:rPr>
  </w:style>
  <w:style w:type="character" w:customStyle="1" w:styleId="BodyTextIndent3Char">
    <w:name w:val="Body Text Indent 3 Char"/>
    <w:basedOn w:val="DefaultParagraphFont"/>
    <w:link w:val="BodyTextIndent3"/>
    <w:semiHidden/>
    <w:rsid w:val="005143BD"/>
    <w:rPr>
      <w:sz w:val="16"/>
      <w:szCs w:val="16"/>
    </w:rPr>
  </w:style>
  <w:style w:type="paragraph" w:styleId="Date">
    <w:name w:val="Date"/>
    <w:basedOn w:val="Normal"/>
    <w:next w:val="Normal"/>
    <w:link w:val="DateChar"/>
    <w:semiHidden/>
    <w:rsid w:val="00137E7C"/>
    <w:pPr>
      <w:jc w:val="center"/>
    </w:pPr>
  </w:style>
  <w:style w:type="character" w:customStyle="1" w:styleId="DateChar">
    <w:name w:val="Date Char"/>
    <w:basedOn w:val="DefaultParagraphFont"/>
    <w:link w:val="Date"/>
    <w:semiHidden/>
    <w:rsid w:val="00137E7C"/>
  </w:style>
  <w:style w:type="paragraph" w:styleId="EnvelopeAddress">
    <w:name w:val="envelope address"/>
    <w:basedOn w:val="Normal"/>
    <w:semiHidden/>
    <w:rsid w:val="005143BD"/>
    <w:pPr>
      <w:framePr w:w="7920" w:h="1980" w:hRule="exact" w:hSpace="180" w:wrap="auto" w:hAnchor="page" w:xAlign="center" w:yAlign="bottom"/>
      <w:ind w:left="2880"/>
    </w:pPr>
    <w:rPr>
      <w:rFonts w:cs="Arial"/>
    </w:rPr>
  </w:style>
  <w:style w:type="paragraph" w:styleId="EnvelopeReturn">
    <w:name w:val="envelope return"/>
    <w:basedOn w:val="Normal"/>
    <w:semiHidden/>
    <w:rsid w:val="005143BD"/>
    <w:rPr>
      <w:rFonts w:cs="Arial"/>
      <w:szCs w:val="20"/>
    </w:rPr>
  </w:style>
  <w:style w:type="paragraph" w:styleId="Footer">
    <w:name w:val="footer"/>
    <w:basedOn w:val="Normal"/>
    <w:link w:val="FooterChar"/>
    <w:rsid w:val="005143BD"/>
    <w:pPr>
      <w:tabs>
        <w:tab w:val="center" w:pos="4680"/>
        <w:tab w:val="right" w:pos="9360"/>
      </w:tabs>
    </w:pPr>
  </w:style>
  <w:style w:type="character" w:customStyle="1" w:styleId="FooterChar">
    <w:name w:val="Footer Char"/>
    <w:basedOn w:val="DefaultParagraphFont"/>
    <w:link w:val="Footer"/>
    <w:rsid w:val="005143BD"/>
  </w:style>
  <w:style w:type="character" w:styleId="FootnoteReference">
    <w:name w:val="footnote reference"/>
    <w:unhideWhenUsed/>
    <w:rsid w:val="005143BD"/>
    <w:rPr>
      <w:rFonts w:ascii="Times New Roman" w:hAnsi="Times New Roman"/>
      <w:sz w:val="24"/>
      <w:vertAlign w:val="superscript"/>
    </w:rPr>
  </w:style>
  <w:style w:type="paragraph" w:styleId="FootnoteText">
    <w:name w:val="footnote text"/>
    <w:basedOn w:val="Normal"/>
    <w:link w:val="FootnoteTextChar"/>
    <w:unhideWhenUsed/>
    <w:rsid w:val="005143BD"/>
    <w:rPr>
      <w:sz w:val="20"/>
      <w:szCs w:val="20"/>
    </w:rPr>
  </w:style>
  <w:style w:type="character" w:customStyle="1" w:styleId="FootnoteTextChar">
    <w:name w:val="Footnote Text Char"/>
    <w:basedOn w:val="DefaultParagraphFont"/>
    <w:link w:val="FootnoteText"/>
    <w:rsid w:val="005143BD"/>
    <w:rPr>
      <w:sz w:val="20"/>
      <w:szCs w:val="20"/>
    </w:rPr>
  </w:style>
  <w:style w:type="paragraph" w:styleId="Header">
    <w:name w:val="header"/>
    <w:basedOn w:val="Normal"/>
    <w:link w:val="HeaderChar"/>
    <w:rsid w:val="005143BD"/>
    <w:pPr>
      <w:tabs>
        <w:tab w:val="center" w:pos="4680"/>
        <w:tab w:val="right" w:pos="9360"/>
      </w:tabs>
    </w:pPr>
  </w:style>
  <w:style w:type="character" w:customStyle="1" w:styleId="HeaderChar">
    <w:name w:val="Header Char"/>
    <w:basedOn w:val="DefaultParagraphFont"/>
    <w:link w:val="Header"/>
    <w:rsid w:val="005143BD"/>
  </w:style>
  <w:style w:type="character" w:customStyle="1" w:styleId="Heading1Char">
    <w:name w:val="Heading 1 Char"/>
    <w:basedOn w:val="DefaultParagraphFont"/>
    <w:link w:val="Heading1"/>
    <w:rsid w:val="005143BD"/>
    <w:rPr>
      <w:rFonts w:cs="Arial"/>
      <w:b/>
      <w:bCs/>
    </w:rPr>
  </w:style>
  <w:style w:type="character" w:customStyle="1" w:styleId="Heading2Char">
    <w:name w:val="Heading 2 Char"/>
    <w:basedOn w:val="DefaultParagraphFont"/>
    <w:link w:val="Heading2"/>
    <w:rsid w:val="005143BD"/>
    <w:rPr>
      <w:rFonts w:cs="Arial"/>
      <w:bCs/>
      <w:iCs/>
    </w:rPr>
  </w:style>
  <w:style w:type="character" w:customStyle="1" w:styleId="Heading3Char">
    <w:name w:val="Heading 3 Char"/>
    <w:basedOn w:val="DefaultParagraphFont"/>
    <w:link w:val="Heading3"/>
    <w:rsid w:val="005143BD"/>
    <w:rPr>
      <w:rFonts w:cs="Arial"/>
      <w:bCs/>
    </w:rPr>
  </w:style>
  <w:style w:type="character" w:customStyle="1" w:styleId="Heading4Char">
    <w:name w:val="Heading 4 Char"/>
    <w:basedOn w:val="DefaultParagraphFont"/>
    <w:link w:val="Heading4"/>
    <w:rsid w:val="005143BD"/>
    <w:rPr>
      <w:rFonts w:cs="Times New Roman"/>
      <w:bCs/>
    </w:rPr>
  </w:style>
  <w:style w:type="character" w:customStyle="1" w:styleId="Heading5Char">
    <w:name w:val="Heading 5 Char"/>
    <w:basedOn w:val="DefaultParagraphFont"/>
    <w:link w:val="Heading5"/>
    <w:rsid w:val="005143BD"/>
    <w:rPr>
      <w:rFonts w:cs="Times New Roman"/>
      <w:bCs/>
      <w:iCs/>
      <w:szCs w:val="26"/>
    </w:rPr>
  </w:style>
  <w:style w:type="character" w:customStyle="1" w:styleId="Heading6Char">
    <w:name w:val="Heading 6 Char"/>
    <w:basedOn w:val="DefaultParagraphFont"/>
    <w:link w:val="Heading6"/>
    <w:rsid w:val="005143BD"/>
    <w:rPr>
      <w:rFonts w:cs="Times New Roman"/>
      <w:bCs/>
      <w:szCs w:val="22"/>
    </w:rPr>
  </w:style>
  <w:style w:type="character" w:customStyle="1" w:styleId="Heading7Char">
    <w:name w:val="Heading 7 Char"/>
    <w:basedOn w:val="DefaultParagraphFont"/>
    <w:link w:val="Heading7"/>
    <w:rsid w:val="005143BD"/>
    <w:rPr>
      <w:rFonts w:cs="Times New Roman"/>
    </w:rPr>
  </w:style>
  <w:style w:type="character" w:customStyle="1" w:styleId="Heading8Char">
    <w:name w:val="Heading 8 Char"/>
    <w:basedOn w:val="DefaultParagraphFont"/>
    <w:link w:val="Heading8"/>
    <w:rsid w:val="005143BD"/>
    <w:rPr>
      <w:rFonts w:cs="Times New Roman"/>
      <w:iCs/>
    </w:rPr>
  </w:style>
  <w:style w:type="character" w:customStyle="1" w:styleId="Heading9Char">
    <w:name w:val="Heading 9 Char"/>
    <w:basedOn w:val="DefaultParagraphFont"/>
    <w:link w:val="Heading9"/>
    <w:rsid w:val="005143BD"/>
    <w:rPr>
      <w:rFonts w:cs="Arial"/>
      <w:szCs w:val="22"/>
    </w:rPr>
  </w:style>
  <w:style w:type="character" w:styleId="LineNumber">
    <w:name w:val="line number"/>
    <w:basedOn w:val="DefaultParagraphFont"/>
    <w:semiHidden/>
    <w:rsid w:val="005143BD"/>
  </w:style>
  <w:style w:type="paragraph" w:styleId="List">
    <w:name w:val="List"/>
    <w:basedOn w:val="Normal"/>
    <w:semiHidden/>
    <w:rsid w:val="005143BD"/>
    <w:pPr>
      <w:ind w:left="360" w:hanging="360"/>
    </w:pPr>
  </w:style>
  <w:style w:type="paragraph" w:styleId="List2">
    <w:name w:val="List 2"/>
    <w:basedOn w:val="Normal"/>
    <w:semiHidden/>
    <w:rsid w:val="005143BD"/>
    <w:pPr>
      <w:ind w:left="720" w:hanging="360"/>
    </w:pPr>
  </w:style>
  <w:style w:type="paragraph" w:styleId="List3">
    <w:name w:val="List 3"/>
    <w:basedOn w:val="Normal"/>
    <w:semiHidden/>
    <w:rsid w:val="005143BD"/>
    <w:pPr>
      <w:ind w:left="1080" w:hanging="360"/>
    </w:pPr>
  </w:style>
  <w:style w:type="paragraph" w:styleId="List4">
    <w:name w:val="List 4"/>
    <w:basedOn w:val="Normal"/>
    <w:semiHidden/>
    <w:rsid w:val="005143BD"/>
    <w:pPr>
      <w:ind w:left="1440" w:hanging="360"/>
    </w:pPr>
  </w:style>
  <w:style w:type="paragraph" w:styleId="List5">
    <w:name w:val="List 5"/>
    <w:basedOn w:val="Normal"/>
    <w:semiHidden/>
    <w:rsid w:val="005143BD"/>
    <w:pPr>
      <w:ind w:left="1800" w:hanging="360"/>
    </w:pPr>
  </w:style>
  <w:style w:type="paragraph" w:styleId="ListBullet">
    <w:name w:val="List Bullet"/>
    <w:basedOn w:val="Normal"/>
    <w:qFormat/>
    <w:rsid w:val="00E0081A"/>
    <w:pPr>
      <w:numPr>
        <w:numId w:val="26"/>
      </w:numPr>
      <w:spacing w:after="240"/>
      <w:jc w:val="both"/>
    </w:pPr>
  </w:style>
  <w:style w:type="paragraph" w:styleId="ListBullet2">
    <w:name w:val="List Bullet 2"/>
    <w:basedOn w:val="Normal"/>
    <w:autoRedefine/>
    <w:semiHidden/>
    <w:rsid w:val="005143BD"/>
    <w:pPr>
      <w:numPr>
        <w:numId w:val="13"/>
      </w:numPr>
    </w:pPr>
  </w:style>
  <w:style w:type="paragraph" w:styleId="ListBullet3">
    <w:name w:val="List Bullet 3"/>
    <w:basedOn w:val="Normal"/>
    <w:autoRedefine/>
    <w:semiHidden/>
    <w:rsid w:val="005143BD"/>
    <w:pPr>
      <w:numPr>
        <w:numId w:val="14"/>
      </w:numPr>
    </w:pPr>
  </w:style>
  <w:style w:type="paragraph" w:styleId="ListBullet4">
    <w:name w:val="List Bullet 4"/>
    <w:basedOn w:val="Normal"/>
    <w:autoRedefine/>
    <w:semiHidden/>
    <w:rsid w:val="005143BD"/>
    <w:pPr>
      <w:numPr>
        <w:numId w:val="15"/>
      </w:numPr>
    </w:pPr>
  </w:style>
  <w:style w:type="paragraph" w:styleId="ListBullet5">
    <w:name w:val="List Bullet 5"/>
    <w:basedOn w:val="Normal"/>
    <w:autoRedefine/>
    <w:semiHidden/>
    <w:rsid w:val="005143BD"/>
    <w:pPr>
      <w:numPr>
        <w:numId w:val="16"/>
      </w:numPr>
    </w:pPr>
  </w:style>
  <w:style w:type="paragraph" w:styleId="ListContinue">
    <w:name w:val="List Continue"/>
    <w:basedOn w:val="Normal"/>
    <w:semiHidden/>
    <w:rsid w:val="005143BD"/>
    <w:pPr>
      <w:spacing w:after="120"/>
      <w:ind w:left="360"/>
    </w:pPr>
  </w:style>
  <w:style w:type="paragraph" w:styleId="ListContinue2">
    <w:name w:val="List Continue 2"/>
    <w:basedOn w:val="Normal"/>
    <w:semiHidden/>
    <w:rsid w:val="005143BD"/>
    <w:pPr>
      <w:spacing w:after="120"/>
      <w:ind w:left="720"/>
    </w:pPr>
  </w:style>
  <w:style w:type="paragraph" w:styleId="ListContinue3">
    <w:name w:val="List Continue 3"/>
    <w:basedOn w:val="Normal"/>
    <w:semiHidden/>
    <w:rsid w:val="005143BD"/>
    <w:pPr>
      <w:spacing w:after="120"/>
      <w:ind w:left="1080"/>
    </w:pPr>
  </w:style>
  <w:style w:type="paragraph" w:styleId="ListContinue4">
    <w:name w:val="List Continue 4"/>
    <w:basedOn w:val="Normal"/>
    <w:semiHidden/>
    <w:rsid w:val="005143BD"/>
    <w:pPr>
      <w:spacing w:after="120"/>
      <w:ind w:left="1440"/>
    </w:pPr>
  </w:style>
  <w:style w:type="paragraph" w:styleId="ListContinue5">
    <w:name w:val="List Continue 5"/>
    <w:basedOn w:val="Normal"/>
    <w:semiHidden/>
    <w:rsid w:val="005143BD"/>
    <w:pPr>
      <w:spacing w:after="120"/>
      <w:ind w:left="1800"/>
    </w:pPr>
  </w:style>
  <w:style w:type="paragraph" w:styleId="ListNumber">
    <w:name w:val="List Number"/>
    <w:basedOn w:val="Normal"/>
    <w:qFormat/>
    <w:rsid w:val="00E0081A"/>
    <w:pPr>
      <w:numPr>
        <w:numId w:val="25"/>
      </w:numPr>
      <w:spacing w:after="240"/>
      <w:jc w:val="both"/>
    </w:pPr>
  </w:style>
  <w:style w:type="paragraph" w:styleId="ListNumber2">
    <w:name w:val="List Number 2"/>
    <w:basedOn w:val="Normal"/>
    <w:semiHidden/>
    <w:rsid w:val="005143BD"/>
    <w:pPr>
      <w:numPr>
        <w:numId w:val="17"/>
      </w:numPr>
    </w:pPr>
  </w:style>
  <w:style w:type="paragraph" w:styleId="ListNumber3">
    <w:name w:val="List Number 3"/>
    <w:basedOn w:val="Normal"/>
    <w:semiHidden/>
    <w:rsid w:val="005143BD"/>
    <w:pPr>
      <w:numPr>
        <w:numId w:val="18"/>
      </w:numPr>
    </w:pPr>
  </w:style>
  <w:style w:type="paragraph" w:styleId="ListNumber4">
    <w:name w:val="List Number 4"/>
    <w:basedOn w:val="Normal"/>
    <w:semiHidden/>
    <w:rsid w:val="005143BD"/>
    <w:pPr>
      <w:numPr>
        <w:numId w:val="19"/>
      </w:numPr>
    </w:pPr>
  </w:style>
  <w:style w:type="paragraph" w:styleId="ListNumber5">
    <w:name w:val="List Number 5"/>
    <w:basedOn w:val="Normal"/>
    <w:semiHidden/>
    <w:rsid w:val="005143BD"/>
    <w:pPr>
      <w:numPr>
        <w:numId w:val="20"/>
      </w:numPr>
    </w:pPr>
  </w:style>
  <w:style w:type="paragraph" w:styleId="MessageHeader">
    <w:name w:val="Message Header"/>
    <w:basedOn w:val="Normal"/>
    <w:link w:val="MessageHeaderChar"/>
    <w:semiHidden/>
    <w:rsid w:val="005143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5143BD"/>
    <w:rPr>
      <w:rFonts w:ascii="Arial" w:hAnsi="Arial" w:cs="Arial"/>
      <w:shd w:val="pct20" w:color="auto" w:fill="auto"/>
    </w:rPr>
  </w:style>
  <w:style w:type="paragraph" w:styleId="NormalWeb">
    <w:name w:val="Normal (Web)"/>
    <w:basedOn w:val="Normal"/>
    <w:semiHidden/>
    <w:rsid w:val="005143BD"/>
  </w:style>
  <w:style w:type="character" w:styleId="PageNumber">
    <w:name w:val="page number"/>
    <w:basedOn w:val="DefaultParagraphFont"/>
    <w:semiHidden/>
    <w:rsid w:val="005143BD"/>
  </w:style>
  <w:style w:type="paragraph" w:styleId="PlainText">
    <w:name w:val="Plain Text"/>
    <w:basedOn w:val="Normal"/>
    <w:link w:val="PlainTextChar"/>
    <w:semiHidden/>
    <w:rsid w:val="005143BD"/>
    <w:rPr>
      <w:rFonts w:ascii="Courier New" w:hAnsi="Courier New" w:cs="Courier New"/>
      <w:sz w:val="20"/>
      <w:szCs w:val="20"/>
    </w:rPr>
  </w:style>
  <w:style w:type="character" w:customStyle="1" w:styleId="PlainTextChar">
    <w:name w:val="Plain Text Char"/>
    <w:basedOn w:val="DefaultParagraphFont"/>
    <w:link w:val="PlainText"/>
    <w:semiHidden/>
    <w:rsid w:val="005143BD"/>
    <w:rPr>
      <w:rFonts w:ascii="Courier New" w:hAnsi="Courier New" w:cs="Courier New"/>
      <w:sz w:val="20"/>
      <w:szCs w:val="20"/>
    </w:rPr>
  </w:style>
  <w:style w:type="paragraph" w:styleId="Salutation">
    <w:name w:val="Salutation"/>
    <w:basedOn w:val="Normal"/>
    <w:next w:val="Normal"/>
    <w:link w:val="SalutationChar"/>
    <w:semiHidden/>
    <w:rsid w:val="00BC4882"/>
    <w:pPr>
      <w:spacing w:after="240"/>
    </w:pPr>
  </w:style>
  <w:style w:type="character" w:customStyle="1" w:styleId="SalutationChar">
    <w:name w:val="Salutation Char"/>
    <w:basedOn w:val="DefaultParagraphFont"/>
    <w:link w:val="Salutation"/>
    <w:semiHidden/>
    <w:rsid w:val="00BC4882"/>
  </w:style>
  <w:style w:type="paragraph" w:styleId="Signature">
    <w:name w:val="Signature"/>
    <w:basedOn w:val="Normal"/>
    <w:link w:val="SignatureChar"/>
    <w:qFormat/>
    <w:rsid w:val="00E0081A"/>
    <w:pPr>
      <w:tabs>
        <w:tab w:val="right" w:leader="underscore" w:pos="9360"/>
      </w:tabs>
      <w:ind w:left="4320"/>
    </w:pPr>
  </w:style>
  <w:style w:type="character" w:customStyle="1" w:styleId="SignatureChar">
    <w:name w:val="Signature Char"/>
    <w:basedOn w:val="DefaultParagraphFont"/>
    <w:link w:val="Signature"/>
    <w:rsid w:val="00E0081A"/>
  </w:style>
  <w:style w:type="paragraph" w:styleId="Subtitle">
    <w:name w:val="Subtitle"/>
    <w:basedOn w:val="Normal"/>
    <w:link w:val="SubtitleChar"/>
    <w:rsid w:val="005143BD"/>
    <w:pPr>
      <w:spacing w:after="240"/>
      <w:outlineLvl w:val="1"/>
    </w:pPr>
    <w:rPr>
      <w:rFonts w:cs="Arial"/>
      <w:u w:val="single"/>
    </w:rPr>
  </w:style>
  <w:style w:type="character" w:customStyle="1" w:styleId="SubtitleChar">
    <w:name w:val="Subtitle Char"/>
    <w:basedOn w:val="DefaultParagraphFont"/>
    <w:link w:val="Subtitle"/>
    <w:rsid w:val="005143BD"/>
    <w:rPr>
      <w:rFonts w:cs="Arial"/>
      <w:u w:val="single"/>
    </w:rPr>
  </w:style>
  <w:style w:type="table" w:styleId="Table3Deffects1">
    <w:name w:val="Table 3D effects 1"/>
    <w:basedOn w:val="TableNormal"/>
    <w:semiHidden/>
    <w:rsid w:val="005143BD"/>
    <w:rPr>
      <w:rFonts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43BD"/>
    <w:rPr>
      <w:rFonts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43BD"/>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43BD"/>
    <w:rPr>
      <w:rFonts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43BD"/>
    <w:rPr>
      <w:rFonts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43BD"/>
    <w:rPr>
      <w:rFonts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43BD"/>
    <w:rPr>
      <w:rFonts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43BD"/>
    <w:rPr>
      <w:rFonts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43BD"/>
    <w:rPr>
      <w:rFonts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43BD"/>
    <w:rPr>
      <w:rFonts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43BD"/>
    <w:rPr>
      <w:rFonts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43BD"/>
    <w:rPr>
      <w:rFonts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43BD"/>
    <w:rPr>
      <w:rFonts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43BD"/>
    <w:rPr>
      <w:rFont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43BD"/>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143BD"/>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43BD"/>
    <w:rPr>
      <w:rFonts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43BD"/>
    <w:rPr>
      <w:rFonts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43BD"/>
    <w:rPr>
      <w:rFonts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43BD"/>
    <w:rPr>
      <w:rFonts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43BD"/>
    <w:rPr>
      <w:rFont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43BD"/>
    <w:rPr>
      <w:rFonts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43BD"/>
    <w:rPr>
      <w:rFonts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43BD"/>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43BD"/>
    <w:rPr>
      <w:rFonts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43BD"/>
    <w:rPr>
      <w:rFonts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43BD"/>
    <w:rPr>
      <w:rFonts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43BD"/>
    <w:rPr>
      <w:rFonts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43BD"/>
    <w:rPr>
      <w:rFont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43BD"/>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43BD"/>
    <w:rPr>
      <w:rFonts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43BD"/>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43BD"/>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FirstIndent"/>
    <w:link w:val="TitleChar"/>
    <w:qFormat/>
    <w:rsid w:val="00E0081A"/>
    <w:pPr>
      <w:keepNext/>
      <w:spacing w:after="240"/>
      <w:jc w:val="center"/>
    </w:pPr>
    <w:rPr>
      <w:rFonts w:cs="Arial"/>
      <w:b/>
      <w:bCs/>
    </w:rPr>
  </w:style>
  <w:style w:type="character" w:customStyle="1" w:styleId="TitleChar">
    <w:name w:val="Title Char"/>
    <w:basedOn w:val="DefaultParagraphFont"/>
    <w:link w:val="Title"/>
    <w:rsid w:val="00E0081A"/>
    <w:rPr>
      <w:rFonts w:cs="Arial"/>
      <w:b/>
      <w:bCs/>
    </w:rPr>
  </w:style>
  <w:style w:type="paragraph" w:customStyle="1" w:styleId="TitleBU">
    <w:name w:val="Title BU"/>
    <w:basedOn w:val="Title"/>
    <w:next w:val="BodyTextFirstIndent"/>
    <w:qFormat/>
    <w:rsid w:val="0044226E"/>
    <w:rPr>
      <w:u w:val="single"/>
    </w:rPr>
  </w:style>
  <w:style w:type="paragraph" w:styleId="TOAHeading">
    <w:name w:val="toa heading"/>
    <w:basedOn w:val="Normal"/>
    <w:next w:val="Normal"/>
    <w:unhideWhenUsed/>
    <w:rsid w:val="005143BD"/>
    <w:pPr>
      <w:keepNext/>
      <w:spacing w:after="240"/>
      <w:jc w:val="center"/>
      <w:outlineLvl w:val="0"/>
    </w:pPr>
    <w:rPr>
      <w:rFonts w:cs="Arial"/>
      <w:b/>
      <w:bCs/>
    </w:rPr>
  </w:style>
  <w:style w:type="paragraph" w:styleId="TOC1">
    <w:name w:val="toc 1"/>
    <w:basedOn w:val="Normal"/>
    <w:next w:val="Normal"/>
    <w:autoRedefine/>
    <w:unhideWhenUsed/>
    <w:rsid w:val="005143BD"/>
    <w:pPr>
      <w:tabs>
        <w:tab w:val="right" w:leader="dot" w:pos="9360"/>
      </w:tabs>
      <w:spacing w:after="240"/>
      <w:ind w:left="720" w:right="720" w:hanging="720"/>
    </w:pPr>
  </w:style>
  <w:style w:type="paragraph" w:styleId="TOC2">
    <w:name w:val="toc 2"/>
    <w:basedOn w:val="Normal"/>
    <w:next w:val="Normal"/>
    <w:autoRedefine/>
    <w:unhideWhenUsed/>
    <w:rsid w:val="005143BD"/>
    <w:pPr>
      <w:tabs>
        <w:tab w:val="left" w:pos="720"/>
        <w:tab w:val="right" w:leader="dot" w:pos="9350"/>
      </w:tabs>
      <w:spacing w:after="240"/>
      <w:ind w:left="1440" w:right="720" w:hanging="720"/>
    </w:pPr>
  </w:style>
  <w:style w:type="paragraph" w:styleId="TOC3">
    <w:name w:val="toc 3"/>
    <w:basedOn w:val="Normal"/>
    <w:next w:val="Normal"/>
    <w:autoRedefine/>
    <w:unhideWhenUsed/>
    <w:rsid w:val="005143BD"/>
    <w:pPr>
      <w:tabs>
        <w:tab w:val="right" w:leader="dot" w:pos="9350"/>
      </w:tabs>
      <w:spacing w:after="240"/>
      <w:ind w:left="2160" w:right="720" w:hanging="720"/>
    </w:pPr>
  </w:style>
  <w:style w:type="paragraph" w:styleId="BodyText">
    <w:name w:val="Body Text"/>
    <w:basedOn w:val="Normal"/>
    <w:link w:val="BodyTextChar"/>
    <w:qFormat/>
    <w:rsid w:val="00872DE3"/>
    <w:pPr>
      <w:spacing w:after="240"/>
      <w:jc w:val="both"/>
    </w:pPr>
  </w:style>
  <w:style w:type="character" w:customStyle="1" w:styleId="BodyTextChar">
    <w:name w:val="Body Text Char"/>
    <w:basedOn w:val="DefaultParagraphFont"/>
    <w:link w:val="BodyText"/>
    <w:rsid w:val="00872DE3"/>
  </w:style>
  <w:style w:type="paragraph" w:styleId="TOCHeading">
    <w:name w:val="TOC Heading"/>
    <w:basedOn w:val="Normal"/>
    <w:next w:val="Normal"/>
    <w:uiPriority w:val="39"/>
    <w:unhideWhenUsed/>
    <w:rsid w:val="005143BD"/>
    <w:pPr>
      <w:keepNext/>
      <w:spacing w:after="240"/>
      <w:jc w:val="center"/>
    </w:pPr>
    <w:rPr>
      <w:rFonts w:eastAsiaTheme="majorEastAsia" w:cstheme="majorBidi"/>
      <w:b/>
      <w:szCs w:val="28"/>
    </w:rPr>
  </w:style>
  <w:style w:type="paragraph" w:customStyle="1" w:styleId="ByLineSignature">
    <w:name w:val="By Line Signature"/>
    <w:basedOn w:val="Signature"/>
    <w:rsid w:val="0044226E"/>
    <w:pPr>
      <w:tabs>
        <w:tab w:val="left" w:pos="5040"/>
      </w:tabs>
    </w:pPr>
  </w:style>
  <w:style w:type="paragraph" w:customStyle="1" w:styleId="BodyTextIndent5">
    <w:name w:val="Body Text Indent .5"/>
    <w:basedOn w:val="BodyText"/>
    <w:rsid w:val="005143BD"/>
    <w:pPr>
      <w:ind w:left="720"/>
    </w:pPr>
  </w:style>
  <w:style w:type="paragraph" w:customStyle="1" w:styleId="BodyTextIndent10">
    <w:name w:val="Body Text Indent 1.0"/>
    <w:basedOn w:val="BodyText"/>
    <w:rsid w:val="005143BD"/>
    <w:pPr>
      <w:ind w:left="1440"/>
    </w:pPr>
  </w:style>
  <w:style w:type="paragraph" w:styleId="Closing">
    <w:name w:val="Closing"/>
    <w:basedOn w:val="Normal"/>
    <w:link w:val="ClosingChar"/>
    <w:semiHidden/>
    <w:unhideWhenUsed/>
    <w:rsid w:val="00137E7C"/>
    <w:pPr>
      <w:spacing w:after="960"/>
      <w:ind w:left="4320"/>
    </w:pPr>
  </w:style>
  <w:style w:type="character" w:customStyle="1" w:styleId="ClosingChar">
    <w:name w:val="Closing Char"/>
    <w:basedOn w:val="DefaultParagraphFont"/>
    <w:link w:val="Closing"/>
    <w:semiHidden/>
    <w:rsid w:val="00137E7C"/>
  </w:style>
  <w:style w:type="paragraph" w:styleId="ListParagraph">
    <w:name w:val="List Paragraph"/>
    <w:basedOn w:val="Normal"/>
    <w:uiPriority w:val="34"/>
    <w:unhideWhenUsed/>
    <w:qFormat/>
    <w:rsid w:val="00472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2475">
      <w:bodyDiv w:val="1"/>
      <w:marLeft w:val="0"/>
      <w:marRight w:val="0"/>
      <w:marTop w:val="0"/>
      <w:marBottom w:val="0"/>
      <w:divBdr>
        <w:top w:val="none" w:sz="0" w:space="0" w:color="auto"/>
        <w:left w:val="none" w:sz="0" w:space="0" w:color="auto"/>
        <w:bottom w:val="none" w:sz="0" w:space="0" w:color="auto"/>
        <w:right w:val="none" w:sz="0" w:space="0" w:color="auto"/>
      </w:divBdr>
    </w:div>
    <w:div w:id="255528507">
      <w:bodyDiv w:val="1"/>
      <w:marLeft w:val="0"/>
      <w:marRight w:val="0"/>
      <w:marTop w:val="0"/>
      <w:marBottom w:val="0"/>
      <w:divBdr>
        <w:top w:val="none" w:sz="0" w:space="0" w:color="auto"/>
        <w:left w:val="none" w:sz="0" w:space="0" w:color="auto"/>
        <w:bottom w:val="none" w:sz="0" w:space="0" w:color="auto"/>
        <w:right w:val="none" w:sz="0" w:space="0" w:color="auto"/>
      </w:divBdr>
      <w:divsChild>
        <w:div w:id="2056346951">
          <w:marLeft w:val="274"/>
          <w:marRight w:val="0"/>
          <w:marTop w:val="0"/>
          <w:marBottom w:val="0"/>
          <w:divBdr>
            <w:top w:val="none" w:sz="0" w:space="0" w:color="auto"/>
            <w:left w:val="none" w:sz="0" w:space="0" w:color="auto"/>
            <w:bottom w:val="none" w:sz="0" w:space="0" w:color="auto"/>
            <w:right w:val="none" w:sz="0" w:space="0" w:color="auto"/>
          </w:divBdr>
        </w:div>
        <w:div w:id="2088528475">
          <w:marLeft w:val="994"/>
          <w:marRight w:val="0"/>
          <w:marTop w:val="0"/>
          <w:marBottom w:val="0"/>
          <w:divBdr>
            <w:top w:val="none" w:sz="0" w:space="0" w:color="auto"/>
            <w:left w:val="none" w:sz="0" w:space="0" w:color="auto"/>
            <w:bottom w:val="none" w:sz="0" w:space="0" w:color="auto"/>
            <w:right w:val="none" w:sz="0" w:space="0" w:color="auto"/>
          </w:divBdr>
        </w:div>
        <w:div w:id="1014765162">
          <w:marLeft w:val="994"/>
          <w:marRight w:val="0"/>
          <w:marTop w:val="0"/>
          <w:marBottom w:val="0"/>
          <w:divBdr>
            <w:top w:val="none" w:sz="0" w:space="0" w:color="auto"/>
            <w:left w:val="none" w:sz="0" w:space="0" w:color="auto"/>
            <w:bottom w:val="none" w:sz="0" w:space="0" w:color="auto"/>
            <w:right w:val="none" w:sz="0" w:space="0" w:color="auto"/>
          </w:divBdr>
        </w:div>
        <w:div w:id="588080376">
          <w:marLeft w:val="994"/>
          <w:marRight w:val="0"/>
          <w:marTop w:val="0"/>
          <w:marBottom w:val="0"/>
          <w:divBdr>
            <w:top w:val="none" w:sz="0" w:space="0" w:color="auto"/>
            <w:left w:val="none" w:sz="0" w:space="0" w:color="auto"/>
            <w:bottom w:val="none" w:sz="0" w:space="0" w:color="auto"/>
            <w:right w:val="none" w:sz="0" w:space="0" w:color="auto"/>
          </w:divBdr>
        </w:div>
        <w:div w:id="2095474880">
          <w:marLeft w:val="274"/>
          <w:marRight w:val="0"/>
          <w:marTop w:val="0"/>
          <w:marBottom w:val="0"/>
          <w:divBdr>
            <w:top w:val="none" w:sz="0" w:space="0" w:color="auto"/>
            <w:left w:val="none" w:sz="0" w:space="0" w:color="auto"/>
            <w:bottom w:val="none" w:sz="0" w:space="0" w:color="auto"/>
            <w:right w:val="none" w:sz="0" w:space="0" w:color="auto"/>
          </w:divBdr>
        </w:div>
        <w:div w:id="121505543">
          <w:marLeft w:val="274"/>
          <w:marRight w:val="0"/>
          <w:marTop w:val="0"/>
          <w:marBottom w:val="0"/>
          <w:divBdr>
            <w:top w:val="none" w:sz="0" w:space="0" w:color="auto"/>
            <w:left w:val="none" w:sz="0" w:space="0" w:color="auto"/>
            <w:bottom w:val="none" w:sz="0" w:space="0" w:color="auto"/>
            <w:right w:val="none" w:sz="0" w:space="0" w:color="auto"/>
          </w:divBdr>
        </w:div>
        <w:div w:id="2091340726">
          <w:marLeft w:val="274"/>
          <w:marRight w:val="0"/>
          <w:marTop w:val="0"/>
          <w:marBottom w:val="0"/>
          <w:divBdr>
            <w:top w:val="none" w:sz="0" w:space="0" w:color="auto"/>
            <w:left w:val="none" w:sz="0" w:space="0" w:color="auto"/>
            <w:bottom w:val="none" w:sz="0" w:space="0" w:color="auto"/>
            <w:right w:val="none" w:sz="0" w:space="0" w:color="auto"/>
          </w:divBdr>
        </w:div>
        <w:div w:id="802508301">
          <w:marLeft w:val="274"/>
          <w:marRight w:val="0"/>
          <w:marTop w:val="0"/>
          <w:marBottom w:val="0"/>
          <w:divBdr>
            <w:top w:val="none" w:sz="0" w:space="0" w:color="auto"/>
            <w:left w:val="none" w:sz="0" w:space="0" w:color="auto"/>
            <w:bottom w:val="none" w:sz="0" w:space="0" w:color="auto"/>
            <w:right w:val="none" w:sz="0" w:space="0" w:color="auto"/>
          </w:divBdr>
        </w:div>
        <w:div w:id="1510020587">
          <w:marLeft w:val="274"/>
          <w:marRight w:val="0"/>
          <w:marTop w:val="0"/>
          <w:marBottom w:val="0"/>
          <w:divBdr>
            <w:top w:val="none" w:sz="0" w:space="0" w:color="auto"/>
            <w:left w:val="none" w:sz="0" w:space="0" w:color="auto"/>
            <w:bottom w:val="none" w:sz="0" w:space="0" w:color="auto"/>
            <w:right w:val="none" w:sz="0" w:space="0" w:color="auto"/>
          </w:divBdr>
        </w:div>
        <w:div w:id="1453598026">
          <w:marLeft w:val="274"/>
          <w:marRight w:val="0"/>
          <w:marTop w:val="0"/>
          <w:marBottom w:val="0"/>
          <w:divBdr>
            <w:top w:val="none" w:sz="0" w:space="0" w:color="auto"/>
            <w:left w:val="none" w:sz="0" w:space="0" w:color="auto"/>
            <w:bottom w:val="none" w:sz="0" w:space="0" w:color="auto"/>
            <w:right w:val="none" w:sz="0" w:space="0" w:color="auto"/>
          </w:divBdr>
        </w:div>
      </w:divsChild>
    </w:div>
    <w:div w:id="932591575">
      <w:bodyDiv w:val="1"/>
      <w:marLeft w:val="0"/>
      <w:marRight w:val="0"/>
      <w:marTop w:val="0"/>
      <w:marBottom w:val="0"/>
      <w:divBdr>
        <w:top w:val="none" w:sz="0" w:space="0" w:color="auto"/>
        <w:left w:val="none" w:sz="0" w:space="0" w:color="auto"/>
        <w:bottom w:val="none" w:sz="0" w:space="0" w:color="auto"/>
        <w:right w:val="none" w:sz="0" w:space="0" w:color="auto"/>
      </w:divBdr>
      <w:divsChild>
        <w:div w:id="254559110">
          <w:marLeft w:val="547"/>
          <w:marRight w:val="0"/>
          <w:marTop w:val="0"/>
          <w:marBottom w:val="240"/>
          <w:divBdr>
            <w:top w:val="none" w:sz="0" w:space="0" w:color="auto"/>
            <w:left w:val="none" w:sz="0" w:space="0" w:color="auto"/>
            <w:bottom w:val="none" w:sz="0" w:space="0" w:color="auto"/>
            <w:right w:val="none" w:sz="0" w:space="0" w:color="auto"/>
          </w:divBdr>
        </w:div>
        <w:div w:id="1559704183">
          <w:marLeft w:val="547"/>
          <w:marRight w:val="0"/>
          <w:marTop w:val="0"/>
          <w:marBottom w:val="160"/>
          <w:divBdr>
            <w:top w:val="none" w:sz="0" w:space="0" w:color="auto"/>
            <w:left w:val="none" w:sz="0" w:space="0" w:color="auto"/>
            <w:bottom w:val="none" w:sz="0" w:space="0" w:color="auto"/>
            <w:right w:val="none" w:sz="0" w:space="0" w:color="auto"/>
          </w:divBdr>
        </w:div>
        <w:div w:id="654258816">
          <w:marLeft w:val="1066"/>
          <w:marRight w:val="0"/>
          <w:marTop w:val="0"/>
          <w:marBottom w:val="120"/>
          <w:divBdr>
            <w:top w:val="none" w:sz="0" w:space="0" w:color="auto"/>
            <w:left w:val="none" w:sz="0" w:space="0" w:color="auto"/>
            <w:bottom w:val="none" w:sz="0" w:space="0" w:color="auto"/>
            <w:right w:val="none" w:sz="0" w:space="0" w:color="auto"/>
          </w:divBdr>
        </w:div>
        <w:div w:id="1097873191">
          <w:marLeft w:val="1066"/>
          <w:marRight w:val="0"/>
          <w:marTop w:val="0"/>
          <w:marBottom w:val="120"/>
          <w:divBdr>
            <w:top w:val="none" w:sz="0" w:space="0" w:color="auto"/>
            <w:left w:val="none" w:sz="0" w:space="0" w:color="auto"/>
            <w:bottom w:val="none" w:sz="0" w:space="0" w:color="auto"/>
            <w:right w:val="none" w:sz="0" w:space="0" w:color="auto"/>
          </w:divBdr>
        </w:div>
        <w:div w:id="1406610150">
          <w:marLeft w:val="1066"/>
          <w:marRight w:val="0"/>
          <w:marTop w:val="0"/>
          <w:marBottom w:val="120"/>
          <w:divBdr>
            <w:top w:val="none" w:sz="0" w:space="0" w:color="auto"/>
            <w:left w:val="none" w:sz="0" w:space="0" w:color="auto"/>
            <w:bottom w:val="none" w:sz="0" w:space="0" w:color="auto"/>
            <w:right w:val="none" w:sz="0" w:space="0" w:color="auto"/>
          </w:divBdr>
        </w:div>
        <w:div w:id="74790437">
          <w:marLeft w:val="1066"/>
          <w:marRight w:val="0"/>
          <w:marTop w:val="0"/>
          <w:marBottom w:val="240"/>
          <w:divBdr>
            <w:top w:val="none" w:sz="0" w:space="0" w:color="auto"/>
            <w:left w:val="none" w:sz="0" w:space="0" w:color="auto"/>
            <w:bottom w:val="none" w:sz="0" w:space="0" w:color="auto"/>
            <w:right w:val="none" w:sz="0" w:space="0" w:color="auto"/>
          </w:divBdr>
        </w:div>
        <w:div w:id="1014697124">
          <w:marLeft w:val="547"/>
          <w:marRight w:val="0"/>
          <w:marTop w:val="0"/>
          <w:marBottom w:val="160"/>
          <w:divBdr>
            <w:top w:val="none" w:sz="0" w:space="0" w:color="auto"/>
            <w:left w:val="none" w:sz="0" w:space="0" w:color="auto"/>
            <w:bottom w:val="none" w:sz="0" w:space="0" w:color="auto"/>
            <w:right w:val="none" w:sz="0" w:space="0" w:color="auto"/>
          </w:divBdr>
        </w:div>
        <w:div w:id="1212302642">
          <w:marLeft w:val="1066"/>
          <w:marRight w:val="0"/>
          <w:marTop w:val="0"/>
          <w:marBottom w:val="160"/>
          <w:divBdr>
            <w:top w:val="none" w:sz="0" w:space="0" w:color="auto"/>
            <w:left w:val="none" w:sz="0" w:space="0" w:color="auto"/>
            <w:bottom w:val="none" w:sz="0" w:space="0" w:color="auto"/>
            <w:right w:val="none" w:sz="0" w:space="0" w:color="auto"/>
          </w:divBdr>
        </w:div>
      </w:divsChild>
    </w:div>
    <w:div w:id="1183711350">
      <w:bodyDiv w:val="1"/>
      <w:marLeft w:val="0"/>
      <w:marRight w:val="0"/>
      <w:marTop w:val="0"/>
      <w:marBottom w:val="0"/>
      <w:divBdr>
        <w:top w:val="none" w:sz="0" w:space="0" w:color="auto"/>
        <w:left w:val="none" w:sz="0" w:space="0" w:color="auto"/>
        <w:bottom w:val="none" w:sz="0" w:space="0" w:color="auto"/>
        <w:right w:val="none" w:sz="0" w:space="0" w:color="auto"/>
      </w:divBdr>
      <w:divsChild>
        <w:div w:id="1801680604">
          <w:marLeft w:val="274"/>
          <w:marRight w:val="0"/>
          <w:marTop w:val="0"/>
          <w:marBottom w:val="0"/>
          <w:divBdr>
            <w:top w:val="none" w:sz="0" w:space="0" w:color="auto"/>
            <w:left w:val="none" w:sz="0" w:space="0" w:color="auto"/>
            <w:bottom w:val="none" w:sz="0" w:space="0" w:color="auto"/>
            <w:right w:val="none" w:sz="0" w:space="0" w:color="auto"/>
          </w:divBdr>
        </w:div>
        <w:div w:id="1659454035">
          <w:marLeft w:val="274"/>
          <w:marRight w:val="0"/>
          <w:marTop w:val="0"/>
          <w:marBottom w:val="0"/>
          <w:divBdr>
            <w:top w:val="none" w:sz="0" w:space="0" w:color="auto"/>
            <w:left w:val="none" w:sz="0" w:space="0" w:color="auto"/>
            <w:bottom w:val="none" w:sz="0" w:space="0" w:color="auto"/>
            <w:right w:val="none" w:sz="0" w:space="0" w:color="auto"/>
          </w:divBdr>
        </w:div>
        <w:div w:id="868177361">
          <w:marLeft w:val="274"/>
          <w:marRight w:val="0"/>
          <w:marTop w:val="0"/>
          <w:marBottom w:val="0"/>
          <w:divBdr>
            <w:top w:val="none" w:sz="0" w:space="0" w:color="auto"/>
            <w:left w:val="none" w:sz="0" w:space="0" w:color="auto"/>
            <w:bottom w:val="none" w:sz="0" w:space="0" w:color="auto"/>
            <w:right w:val="none" w:sz="0" w:space="0" w:color="auto"/>
          </w:divBdr>
        </w:div>
        <w:div w:id="1040976933">
          <w:marLeft w:val="274"/>
          <w:marRight w:val="0"/>
          <w:marTop w:val="0"/>
          <w:marBottom w:val="0"/>
          <w:divBdr>
            <w:top w:val="none" w:sz="0" w:space="0" w:color="auto"/>
            <w:left w:val="none" w:sz="0" w:space="0" w:color="auto"/>
            <w:bottom w:val="none" w:sz="0" w:space="0" w:color="auto"/>
            <w:right w:val="none" w:sz="0" w:space="0" w:color="auto"/>
          </w:divBdr>
        </w:div>
        <w:div w:id="1858349314">
          <w:marLeft w:val="274"/>
          <w:marRight w:val="0"/>
          <w:marTop w:val="0"/>
          <w:marBottom w:val="0"/>
          <w:divBdr>
            <w:top w:val="none" w:sz="0" w:space="0" w:color="auto"/>
            <w:left w:val="none" w:sz="0" w:space="0" w:color="auto"/>
            <w:bottom w:val="none" w:sz="0" w:space="0" w:color="auto"/>
            <w:right w:val="none" w:sz="0" w:space="0" w:color="auto"/>
          </w:divBdr>
        </w:div>
      </w:divsChild>
    </w:div>
    <w:div w:id="1578436667">
      <w:bodyDiv w:val="1"/>
      <w:marLeft w:val="0"/>
      <w:marRight w:val="0"/>
      <w:marTop w:val="0"/>
      <w:marBottom w:val="0"/>
      <w:divBdr>
        <w:top w:val="none" w:sz="0" w:space="0" w:color="auto"/>
        <w:left w:val="none" w:sz="0" w:space="0" w:color="auto"/>
        <w:bottom w:val="none" w:sz="0" w:space="0" w:color="auto"/>
        <w:right w:val="none" w:sz="0" w:space="0" w:color="auto"/>
      </w:divBdr>
      <w:divsChild>
        <w:div w:id="773942346">
          <w:marLeft w:val="274"/>
          <w:marRight w:val="0"/>
          <w:marTop w:val="0"/>
          <w:marBottom w:val="0"/>
          <w:divBdr>
            <w:top w:val="none" w:sz="0" w:space="0" w:color="auto"/>
            <w:left w:val="none" w:sz="0" w:space="0" w:color="auto"/>
            <w:bottom w:val="none" w:sz="0" w:space="0" w:color="auto"/>
            <w:right w:val="none" w:sz="0" w:space="0" w:color="auto"/>
          </w:divBdr>
        </w:div>
        <w:div w:id="1672292165">
          <w:marLeft w:val="274"/>
          <w:marRight w:val="0"/>
          <w:marTop w:val="0"/>
          <w:marBottom w:val="0"/>
          <w:divBdr>
            <w:top w:val="none" w:sz="0" w:space="0" w:color="auto"/>
            <w:left w:val="none" w:sz="0" w:space="0" w:color="auto"/>
            <w:bottom w:val="none" w:sz="0" w:space="0" w:color="auto"/>
            <w:right w:val="none" w:sz="0" w:space="0" w:color="auto"/>
          </w:divBdr>
        </w:div>
        <w:div w:id="1960137629">
          <w:marLeft w:val="274"/>
          <w:marRight w:val="0"/>
          <w:marTop w:val="0"/>
          <w:marBottom w:val="0"/>
          <w:divBdr>
            <w:top w:val="none" w:sz="0" w:space="0" w:color="auto"/>
            <w:left w:val="none" w:sz="0" w:space="0" w:color="auto"/>
            <w:bottom w:val="none" w:sz="0" w:space="0" w:color="auto"/>
            <w:right w:val="none" w:sz="0" w:space="0" w:color="auto"/>
          </w:divBdr>
        </w:div>
      </w:divsChild>
    </w:div>
    <w:div w:id="1657106902">
      <w:bodyDiv w:val="1"/>
      <w:marLeft w:val="0"/>
      <w:marRight w:val="0"/>
      <w:marTop w:val="0"/>
      <w:marBottom w:val="0"/>
      <w:divBdr>
        <w:top w:val="none" w:sz="0" w:space="0" w:color="auto"/>
        <w:left w:val="none" w:sz="0" w:space="0" w:color="auto"/>
        <w:bottom w:val="none" w:sz="0" w:space="0" w:color="auto"/>
        <w:right w:val="none" w:sz="0" w:space="0" w:color="auto"/>
      </w:divBdr>
      <w:divsChild>
        <w:div w:id="356076868">
          <w:marLeft w:val="274"/>
          <w:marRight w:val="0"/>
          <w:marTop w:val="0"/>
          <w:marBottom w:val="0"/>
          <w:divBdr>
            <w:top w:val="none" w:sz="0" w:space="0" w:color="auto"/>
            <w:left w:val="none" w:sz="0" w:space="0" w:color="auto"/>
            <w:bottom w:val="none" w:sz="0" w:space="0" w:color="auto"/>
            <w:right w:val="none" w:sz="0" w:space="0" w:color="auto"/>
          </w:divBdr>
        </w:div>
        <w:div w:id="564730405">
          <w:marLeft w:val="274"/>
          <w:marRight w:val="0"/>
          <w:marTop w:val="0"/>
          <w:marBottom w:val="0"/>
          <w:divBdr>
            <w:top w:val="none" w:sz="0" w:space="0" w:color="auto"/>
            <w:left w:val="none" w:sz="0" w:space="0" w:color="auto"/>
            <w:bottom w:val="none" w:sz="0" w:space="0" w:color="auto"/>
            <w:right w:val="none" w:sz="0" w:space="0" w:color="auto"/>
          </w:divBdr>
        </w:div>
        <w:div w:id="453409290">
          <w:marLeft w:val="274"/>
          <w:marRight w:val="0"/>
          <w:marTop w:val="0"/>
          <w:marBottom w:val="0"/>
          <w:divBdr>
            <w:top w:val="none" w:sz="0" w:space="0" w:color="auto"/>
            <w:left w:val="none" w:sz="0" w:space="0" w:color="auto"/>
            <w:bottom w:val="none" w:sz="0" w:space="0" w:color="auto"/>
            <w:right w:val="none" w:sz="0" w:space="0" w:color="auto"/>
          </w:divBdr>
        </w:div>
        <w:div w:id="1886216031">
          <w:marLeft w:val="274"/>
          <w:marRight w:val="0"/>
          <w:marTop w:val="0"/>
          <w:marBottom w:val="0"/>
          <w:divBdr>
            <w:top w:val="none" w:sz="0" w:space="0" w:color="auto"/>
            <w:left w:val="none" w:sz="0" w:space="0" w:color="auto"/>
            <w:bottom w:val="none" w:sz="0" w:space="0" w:color="auto"/>
            <w:right w:val="none" w:sz="0" w:space="0" w:color="auto"/>
          </w:divBdr>
        </w:div>
        <w:div w:id="1853373536">
          <w:marLeft w:val="274"/>
          <w:marRight w:val="0"/>
          <w:marTop w:val="0"/>
          <w:marBottom w:val="0"/>
          <w:divBdr>
            <w:top w:val="none" w:sz="0" w:space="0" w:color="auto"/>
            <w:left w:val="none" w:sz="0" w:space="0" w:color="auto"/>
            <w:bottom w:val="none" w:sz="0" w:space="0" w:color="auto"/>
            <w:right w:val="none" w:sz="0" w:space="0" w:color="auto"/>
          </w:divBdr>
        </w:div>
        <w:div w:id="1142380661">
          <w:marLeft w:val="274"/>
          <w:marRight w:val="0"/>
          <w:marTop w:val="0"/>
          <w:marBottom w:val="0"/>
          <w:divBdr>
            <w:top w:val="none" w:sz="0" w:space="0" w:color="auto"/>
            <w:left w:val="none" w:sz="0" w:space="0" w:color="auto"/>
            <w:bottom w:val="none" w:sz="0" w:space="0" w:color="auto"/>
            <w:right w:val="none" w:sz="0" w:space="0" w:color="auto"/>
          </w:divBdr>
        </w:div>
        <w:div w:id="372392218">
          <w:marLeft w:val="274"/>
          <w:marRight w:val="0"/>
          <w:marTop w:val="0"/>
          <w:marBottom w:val="0"/>
          <w:divBdr>
            <w:top w:val="none" w:sz="0" w:space="0" w:color="auto"/>
            <w:left w:val="none" w:sz="0" w:space="0" w:color="auto"/>
            <w:bottom w:val="none" w:sz="0" w:space="0" w:color="auto"/>
            <w:right w:val="none" w:sz="0" w:space="0" w:color="auto"/>
          </w:divBdr>
        </w:div>
        <w:div w:id="1195771810">
          <w:marLeft w:val="1008"/>
          <w:marRight w:val="0"/>
          <w:marTop w:val="0"/>
          <w:marBottom w:val="0"/>
          <w:divBdr>
            <w:top w:val="none" w:sz="0" w:space="0" w:color="auto"/>
            <w:left w:val="none" w:sz="0" w:space="0" w:color="auto"/>
            <w:bottom w:val="none" w:sz="0" w:space="0" w:color="auto"/>
            <w:right w:val="none" w:sz="0" w:space="0" w:color="auto"/>
          </w:divBdr>
        </w:div>
        <w:div w:id="1126511464">
          <w:marLeft w:val="1008"/>
          <w:marRight w:val="0"/>
          <w:marTop w:val="0"/>
          <w:marBottom w:val="0"/>
          <w:divBdr>
            <w:top w:val="none" w:sz="0" w:space="0" w:color="auto"/>
            <w:left w:val="none" w:sz="0" w:space="0" w:color="auto"/>
            <w:bottom w:val="none" w:sz="0" w:space="0" w:color="auto"/>
            <w:right w:val="none" w:sz="0" w:space="0" w:color="auto"/>
          </w:divBdr>
        </w:div>
        <w:div w:id="611523221">
          <w:marLeft w:val="274"/>
          <w:marRight w:val="0"/>
          <w:marTop w:val="0"/>
          <w:marBottom w:val="0"/>
          <w:divBdr>
            <w:top w:val="none" w:sz="0" w:space="0" w:color="auto"/>
            <w:left w:val="none" w:sz="0" w:space="0" w:color="auto"/>
            <w:bottom w:val="none" w:sz="0" w:space="0" w:color="auto"/>
            <w:right w:val="none" w:sz="0" w:space="0" w:color="auto"/>
          </w:divBdr>
        </w:div>
        <w:div w:id="1421176507">
          <w:marLeft w:val="1008"/>
          <w:marRight w:val="0"/>
          <w:marTop w:val="0"/>
          <w:marBottom w:val="0"/>
          <w:divBdr>
            <w:top w:val="none" w:sz="0" w:space="0" w:color="auto"/>
            <w:left w:val="none" w:sz="0" w:space="0" w:color="auto"/>
            <w:bottom w:val="none" w:sz="0" w:space="0" w:color="auto"/>
            <w:right w:val="none" w:sz="0" w:space="0" w:color="auto"/>
          </w:divBdr>
        </w:div>
        <w:div w:id="527522403">
          <w:marLeft w:val="274"/>
          <w:marRight w:val="0"/>
          <w:marTop w:val="0"/>
          <w:marBottom w:val="0"/>
          <w:divBdr>
            <w:top w:val="none" w:sz="0" w:space="0" w:color="auto"/>
            <w:left w:val="none" w:sz="0" w:space="0" w:color="auto"/>
            <w:bottom w:val="none" w:sz="0" w:space="0" w:color="auto"/>
            <w:right w:val="none" w:sz="0" w:space="0" w:color="auto"/>
          </w:divBdr>
        </w:div>
        <w:div w:id="1611664868">
          <w:marLeft w:val="274"/>
          <w:marRight w:val="0"/>
          <w:marTop w:val="0"/>
          <w:marBottom w:val="0"/>
          <w:divBdr>
            <w:top w:val="none" w:sz="0" w:space="0" w:color="auto"/>
            <w:left w:val="none" w:sz="0" w:space="0" w:color="auto"/>
            <w:bottom w:val="none" w:sz="0" w:space="0" w:color="auto"/>
            <w:right w:val="none" w:sz="0" w:space="0" w:color="auto"/>
          </w:divBdr>
        </w:div>
        <w:div w:id="765686333">
          <w:marLeft w:val="274"/>
          <w:marRight w:val="0"/>
          <w:marTop w:val="0"/>
          <w:marBottom w:val="0"/>
          <w:divBdr>
            <w:top w:val="none" w:sz="0" w:space="0" w:color="auto"/>
            <w:left w:val="none" w:sz="0" w:space="0" w:color="auto"/>
            <w:bottom w:val="none" w:sz="0" w:space="0" w:color="auto"/>
            <w:right w:val="none" w:sz="0" w:space="0" w:color="auto"/>
          </w:divBdr>
        </w:div>
        <w:div w:id="680665263">
          <w:marLeft w:val="274"/>
          <w:marRight w:val="0"/>
          <w:marTop w:val="0"/>
          <w:marBottom w:val="0"/>
          <w:divBdr>
            <w:top w:val="none" w:sz="0" w:space="0" w:color="auto"/>
            <w:left w:val="none" w:sz="0" w:space="0" w:color="auto"/>
            <w:bottom w:val="none" w:sz="0" w:space="0" w:color="auto"/>
            <w:right w:val="none" w:sz="0" w:space="0" w:color="auto"/>
          </w:divBdr>
        </w:div>
        <w:div w:id="270237254">
          <w:marLeft w:val="274"/>
          <w:marRight w:val="0"/>
          <w:marTop w:val="0"/>
          <w:marBottom w:val="0"/>
          <w:divBdr>
            <w:top w:val="none" w:sz="0" w:space="0" w:color="auto"/>
            <w:left w:val="none" w:sz="0" w:space="0" w:color="auto"/>
            <w:bottom w:val="none" w:sz="0" w:space="0" w:color="auto"/>
            <w:right w:val="none" w:sz="0" w:space="0" w:color="auto"/>
          </w:divBdr>
        </w:div>
        <w:div w:id="1413504269">
          <w:marLeft w:val="1008"/>
          <w:marRight w:val="0"/>
          <w:marTop w:val="0"/>
          <w:marBottom w:val="0"/>
          <w:divBdr>
            <w:top w:val="none" w:sz="0" w:space="0" w:color="auto"/>
            <w:left w:val="none" w:sz="0" w:space="0" w:color="auto"/>
            <w:bottom w:val="none" w:sz="0" w:space="0" w:color="auto"/>
            <w:right w:val="none" w:sz="0" w:space="0" w:color="auto"/>
          </w:divBdr>
        </w:div>
        <w:div w:id="259946829">
          <w:marLeft w:val="274"/>
          <w:marRight w:val="0"/>
          <w:marTop w:val="0"/>
          <w:marBottom w:val="0"/>
          <w:divBdr>
            <w:top w:val="none" w:sz="0" w:space="0" w:color="auto"/>
            <w:left w:val="none" w:sz="0" w:space="0" w:color="auto"/>
            <w:bottom w:val="none" w:sz="0" w:space="0" w:color="auto"/>
            <w:right w:val="none" w:sz="0" w:space="0" w:color="auto"/>
          </w:divBdr>
        </w:div>
        <w:div w:id="178550902">
          <w:marLeft w:val="274"/>
          <w:marRight w:val="0"/>
          <w:marTop w:val="0"/>
          <w:marBottom w:val="0"/>
          <w:divBdr>
            <w:top w:val="none" w:sz="0" w:space="0" w:color="auto"/>
            <w:left w:val="none" w:sz="0" w:space="0" w:color="auto"/>
            <w:bottom w:val="none" w:sz="0" w:space="0" w:color="auto"/>
            <w:right w:val="none" w:sz="0" w:space="0" w:color="auto"/>
          </w:divBdr>
        </w:div>
        <w:div w:id="1826513116">
          <w:marLeft w:val="1008"/>
          <w:marRight w:val="0"/>
          <w:marTop w:val="0"/>
          <w:marBottom w:val="0"/>
          <w:divBdr>
            <w:top w:val="none" w:sz="0" w:space="0" w:color="auto"/>
            <w:left w:val="none" w:sz="0" w:space="0" w:color="auto"/>
            <w:bottom w:val="none" w:sz="0" w:space="0" w:color="auto"/>
            <w:right w:val="none" w:sz="0" w:space="0" w:color="auto"/>
          </w:divBdr>
        </w:div>
        <w:div w:id="197552361">
          <w:marLeft w:val="274"/>
          <w:marRight w:val="0"/>
          <w:marTop w:val="0"/>
          <w:marBottom w:val="0"/>
          <w:divBdr>
            <w:top w:val="none" w:sz="0" w:space="0" w:color="auto"/>
            <w:left w:val="none" w:sz="0" w:space="0" w:color="auto"/>
            <w:bottom w:val="none" w:sz="0" w:space="0" w:color="auto"/>
            <w:right w:val="none" w:sz="0" w:space="0" w:color="auto"/>
          </w:divBdr>
        </w:div>
      </w:divsChild>
    </w:div>
    <w:div w:id="1779060925">
      <w:bodyDiv w:val="1"/>
      <w:marLeft w:val="0"/>
      <w:marRight w:val="0"/>
      <w:marTop w:val="0"/>
      <w:marBottom w:val="0"/>
      <w:divBdr>
        <w:top w:val="none" w:sz="0" w:space="0" w:color="auto"/>
        <w:left w:val="none" w:sz="0" w:space="0" w:color="auto"/>
        <w:bottom w:val="none" w:sz="0" w:space="0" w:color="auto"/>
        <w:right w:val="none" w:sz="0" w:space="0" w:color="auto"/>
      </w:divBdr>
      <w:divsChild>
        <w:div w:id="711228994">
          <w:marLeft w:val="547"/>
          <w:marRight w:val="0"/>
          <w:marTop w:val="0"/>
          <w:marBottom w:val="240"/>
          <w:divBdr>
            <w:top w:val="none" w:sz="0" w:space="0" w:color="auto"/>
            <w:left w:val="none" w:sz="0" w:space="0" w:color="auto"/>
            <w:bottom w:val="none" w:sz="0" w:space="0" w:color="auto"/>
            <w:right w:val="none" w:sz="0" w:space="0" w:color="auto"/>
          </w:divBdr>
        </w:div>
        <w:div w:id="1482968568">
          <w:marLeft w:val="1066"/>
          <w:marRight w:val="0"/>
          <w:marTop w:val="0"/>
          <w:marBottom w:val="240"/>
          <w:divBdr>
            <w:top w:val="none" w:sz="0" w:space="0" w:color="auto"/>
            <w:left w:val="none" w:sz="0" w:space="0" w:color="auto"/>
            <w:bottom w:val="none" w:sz="0" w:space="0" w:color="auto"/>
            <w:right w:val="none" w:sz="0" w:space="0" w:color="auto"/>
          </w:divBdr>
        </w:div>
        <w:div w:id="1616210509">
          <w:marLeft w:val="1066"/>
          <w:marRight w:val="0"/>
          <w:marTop w:val="0"/>
          <w:marBottom w:val="240"/>
          <w:divBdr>
            <w:top w:val="none" w:sz="0" w:space="0" w:color="auto"/>
            <w:left w:val="none" w:sz="0" w:space="0" w:color="auto"/>
            <w:bottom w:val="none" w:sz="0" w:space="0" w:color="auto"/>
            <w:right w:val="none" w:sz="0" w:space="0" w:color="auto"/>
          </w:divBdr>
        </w:div>
        <w:div w:id="1512840493">
          <w:marLeft w:val="547"/>
          <w:marRight w:val="0"/>
          <w:marTop w:val="0"/>
          <w:marBottom w:val="240"/>
          <w:divBdr>
            <w:top w:val="none" w:sz="0" w:space="0" w:color="auto"/>
            <w:left w:val="none" w:sz="0" w:space="0" w:color="auto"/>
            <w:bottom w:val="none" w:sz="0" w:space="0" w:color="auto"/>
            <w:right w:val="none" w:sz="0" w:space="0" w:color="auto"/>
          </w:divBdr>
        </w:div>
        <w:div w:id="1113289047">
          <w:marLeft w:val="1066"/>
          <w:marRight w:val="0"/>
          <w:marTop w:val="0"/>
          <w:marBottom w:val="240"/>
          <w:divBdr>
            <w:top w:val="none" w:sz="0" w:space="0" w:color="auto"/>
            <w:left w:val="none" w:sz="0" w:space="0" w:color="auto"/>
            <w:bottom w:val="none" w:sz="0" w:space="0" w:color="auto"/>
            <w:right w:val="none" w:sz="0" w:space="0" w:color="auto"/>
          </w:divBdr>
        </w:div>
        <w:div w:id="1618679596">
          <w:marLeft w:val="1066"/>
          <w:marRight w:val="0"/>
          <w:marTop w:val="0"/>
          <w:marBottom w:val="240"/>
          <w:divBdr>
            <w:top w:val="none" w:sz="0" w:space="0" w:color="auto"/>
            <w:left w:val="none" w:sz="0" w:space="0" w:color="auto"/>
            <w:bottom w:val="none" w:sz="0" w:space="0" w:color="auto"/>
            <w:right w:val="none" w:sz="0" w:space="0" w:color="auto"/>
          </w:divBdr>
        </w:div>
        <w:div w:id="1190607995">
          <w:marLeft w:val="1066"/>
          <w:marRight w:val="0"/>
          <w:marTop w:val="0"/>
          <w:marBottom w:val="240"/>
          <w:divBdr>
            <w:top w:val="none" w:sz="0" w:space="0" w:color="auto"/>
            <w:left w:val="none" w:sz="0" w:space="0" w:color="auto"/>
            <w:bottom w:val="none" w:sz="0" w:space="0" w:color="auto"/>
            <w:right w:val="none" w:sz="0" w:space="0" w:color="auto"/>
          </w:divBdr>
        </w:div>
        <w:div w:id="337276728">
          <w:marLeft w:val="1066"/>
          <w:marRight w:val="0"/>
          <w:marTop w:val="0"/>
          <w:marBottom w:val="240"/>
          <w:divBdr>
            <w:top w:val="none" w:sz="0" w:space="0" w:color="auto"/>
            <w:left w:val="none" w:sz="0" w:space="0" w:color="auto"/>
            <w:bottom w:val="none" w:sz="0" w:space="0" w:color="auto"/>
            <w:right w:val="none" w:sz="0" w:space="0" w:color="auto"/>
          </w:divBdr>
        </w:div>
        <w:div w:id="409080829">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Thompson &amp; Knight</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Amy R.</dc:creator>
  <cp:keywords/>
  <dc:description/>
  <cp:lastModifiedBy>Microsoft Office User</cp:lastModifiedBy>
  <cp:revision>7</cp:revision>
  <dcterms:created xsi:type="dcterms:W3CDTF">2019-06-04T22:30:00Z</dcterms:created>
  <dcterms:modified xsi:type="dcterms:W3CDTF">2019-11-26T21:43:00Z</dcterms:modified>
</cp:coreProperties>
</file>