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D0CF4" w:rsidRPr="003D2A41" w:rsidP="00364E1B">
      <w:pPr>
        <w:ind w:firstLine="0"/>
        <w:jc w:val="center"/>
        <w:rPr>
          <w:rFonts w:ascii="Century Schoolbook" w:hAnsi="Century Schoolbook"/>
          <w:b/>
          <w:color w:val="C00000"/>
          <w:sz w:val="28"/>
        </w:rPr>
      </w:pPr>
      <w:bookmarkStart w:id="0" w:name="_GoBack"/>
      <w:bookmarkEnd w:id="0"/>
      <w:r w:rsidRPr="003D2A41">
        <w:rPr>
          <w:rFonts w:ascii="Century Schoolbook" w:hAnsi="Century Schoolbook"/>
          <w:b/>
          <w:color w:val="C00000"/>
          <w:sz w:val="28"/>
        </w:rPr>
        <w:t xml:space="preserve">Appealing Arbitration Awards </w:t>
      </w:r>
      <w:r w:rsidRPr="003D2A41" w:rsidR="00640793">
        <w:rPr>
          <w:rFonts w:ascii="Century Schoolbook" w:hAnsi="Century Schoolbook"/>
          <w:b/>
          <w:color w:val="C00000"/>
          <w:sz w:val="28"/>
        </w:rPr>
        <w:t xml:space="preserve">and the Circuit Split </w:t>
      </w:r>
    </w:p>
    <w:p w:rsidR="002059C6" w:rsidRPr="003D2A41" w:rsidP="00364E1B">
      <w:pPr>
        <w:ind w:firstLine="0"/>
        <w:jc w:val="center"/>
        <w:rPr>
          <w:rFonts w:ascii="Century Schoolbook" w:hAnsi="Century Schoolbook"/>
          <w:b/>
          <w:color w:val="C00000"/>
          <w:sz w:val="28"/>
        </w:rPr>
      </w:pPr>
      <w:r w:rsidRPr="003D2A41">
        <w:rPr>
          <w:rFonts w:ascii="Century Schoolbook" w:hAnsi="Century Schoolbook"/>
          <w:b/>
          <w:color w:val="C00000"/>
          <w:sz w:val="28"/>
        </w:rPr>
        <w:t>Over</w:t>
      </w:r>
      <w:r w:rsidRPr="003D2A41" w:rsidR="00364E1B">
        <w:rPr>
          <w:rFonts w:ascii="Century Schoolbook" w:hAnsi="Century Schoolbook"/>
          <w:b/>
          <w:color w:val="C00000"/>
          <w:sz w:val="28"/>
        </w:rPr>
        <w:t xml:space="preserve"> “Manifest Disregard of the Law”</w:t>
      </w:r>
    </w:p>
    <w:p w:rsidR="00364E1B" w:rsidRPr="00B540EC">
      <w:pPr>
        <w:rPr>
          <w:rFonts w:ascii="Century Schoolbook" w:hAnsi="Century Schoolbook"/>
          <w:b/>
        </w:rPr>
      </w:pPr>
    </w:p>
    <w:p w:rsidR="00DD2E7C" w:rsidRPr="001B639D" w:rsidP="00505FF6">
      <w:pPr>
        <w:ind w:firstLine="0"/>
        <w:jc w:val="center"/>
        <w:rPr>
          <w:rFonts w:ascii="Century Schoolbook" w:hAnsi="Century Schoolbook"/>
        </w:rPr>
      </w:pPr>
      <w:r w:rsidRPr="001B639D">
        <w:rPr>
          <w:rFonts w:ascii="Century Schoolbook" w:hAnsi="Century Schoolbook"/>
        </w:rPr>
        <w:t>By Jason P. Steed</w:t>
      </w:r>
      <w:r w:rsidR="00C12BF6">
        <w:rPr>
          <w:rFonts w:ascii="Century Schoolbook" w:hAnsi="Century Schoolbook"/>
        </w:rPr>
        <w:t>, Counsel, Kilpatrick Townsend &amp; Stockton, LLP</w:t>
      </w:r>
    </w:p>
    <w:p w:rsidR="00364E1B" w:rsidRPr="001B639D">
      <w:pPr>
        <w:rPr>
          <w:rFonts w:ascii="Century Schoolbook" w:hAnsi="Century Schoolbook"/>
        </w:rPr>
      </w:pPr>
    </w:p>
    <w:p w:rsidR="00EC56F5" w:rsidRPr="001B639D">
      <w:pPr>
        <w:rPr>
          <w:rFonts w:ascii="Century Schoolbook" w:hAnsi="Century Schoolbook"/>
        </w:rPr>
      </w:pPr>
    </w:p>
    <w:p w:rsidR="00290E6F" w:rsidP="008F1EF0">
      <w:pPr>
        <w:spacing w:line="480" w:lineRule="exact"/>
        <w:rPr>
          <w:rFonts w:ascii="Century Schoolbook" w:hAnsi="Century Schoolbook"/>
        </w:rPr>
      </w:pPr>
      <w:r w:rsidRPr="001B639D">
        <w:rPr>
          <w:rFonts w:ascii="Century Schoolbook" w:hAnsi="Century Schoolbook"/>
        </w:rPr>
        <w:t>Appealing a</w:t>
      </w:r>
      <w:r w:rsidRPr="001B639D" w:rsidR="00064AB6">
        <w:rPr>
          <w:rFonts w:ascii="Century Schoolbook" w:hAnsi="Century Schoolbook"/>
        </w:rPr>
        <w:t xml:space="preserve">n </w:t>
      </w:r>
      <w:r w:rsidR="00A6798C">
        <w:rPr>
          <w:rFonts w:ascii="Century Schoolbook" w:hAnsi="Century Schoolbook"/>
        </w:rPr>
        <w:t xml:space="preserve">adverse </w:t>
      </w:r>
      <w:r w:rsidRPr="001B639D" w:rsidR="00064AB6">
        <w:rPr>
          <w:rFonts w:ascii="Century Schoolbook" w:hAnsi="Century Schoolbook"/>
        </w:rPr>
        <w:t>arbitration award has always been</w:t>
      </w:r>
      <w:r w:rsidRPr="001B639D">
        <w:rPr>
          <w:rFonts w:ascii="Century Schoolbook" w:hAnsi="Century Schoolbook"/>
        </w:rPr>
        <w:t xml:space="preserve"> hard</w:t>
      </w:r>
      <w:r w:rsidR="00A6798C">
        <w:rPr>
          <w:rFonts w:ascii="Century Schoolbook" w:hAnsi="Century Schoolbook"/>
        </w:rPr>
        <w:t>. And</w:t>
      </w:r>
      <w:r w:rsidR="009736A3">
        <w:rPr>
          <w:rFonts w:ascii="Century Schoolbook" w:hAnsi="Century Schoolbook"/>
        </w:rPr>
        <w:t xml:space="preserve"> about 10 years ago, </w:t>
      </w:r>
      <w:r w:rsidR="00640793">
        <w:rPr>
          <w:rFonts w:ascii="Century Schoolbook" w:hAnsi="Century Schoolbook"/>
        </w:rPr>
        <w:t>the</w:t>
      </w:r>
      <w:r w:rsidRPr="001B639D" w:rsidR="00064AB6">
        <w:rPr>
          <w:rFonts w:ascii="Century Schoolbook" w:hAnsi="Century Schoolbook"/>
        </w:rPr>
        <w:t xml:space="preserve"> Supreme Court made it</w:t>
      </w:r>
      <w:r w:rsidRPr="001B639D" w:rsidR="00FE0953">
        <w:rPr>
          <w:rFonts w:ascii="Century Schoolbook" w:hAnsi="Century Schoolbook"/>
        </w:rPr>
        <w:t xml:space="preserve"> </w:t>
      </w:r>
      <w:r w:rsidR="009736A3">
        <w:rPr>
          <w:rFonts w:ascii="Century Schoolbook" w:hAnsi="Century Schoolbook"/>
        </w:rPr>
        <w:t xml:space="preserve">even </w:t>
      </w:r>
      <w:r w:rsidRPr="001B639D" w:rsidR="00FE0953">
        <w:rPr>
          <w:rFonts w:ascii="Century Schoolbook" w:hAnsi="Century Schoolbook"/>
        </w:rPr>
        <w:t>harder</w:t>
      </w:r>
      <w:r w:rsidRPr="001B639D">
        <w:rPr>
          <w:rFonts w:ascii="Century Schoolbook" w:hAnsi="Century Schoolbook"/>
        </w:rPr>
        <w:t>.</w:t>
      </w:r>
      <w:r w:rsidRPr="001B639D" w:rsidR="00FE0953">
        <w:rPr>
          <w:rFonts w:ascii="Century Schoolbook" w:hAnsi="Century Schoolbook"/>
        </w:rPr>
        <w:t xml:space="preserve"> </w:t>
      </w:r>
      <w:r w:rsidR="009736A3">
        <w:rPr>
          <w:rFonts w:ascii="Century Schoolbook" w:hAnsi="Century Schoolbook"/>
        </w:rPr>
        <w:t>S</w:t>
      </w:r>
      <w:r w:rsidR="001D0CF4">
        <w:rPr>
          <w:rFonts w:ascii="Century Schoolbook" w:hAnsi="Century Schoolbook"/>
        </w:rPr>
        <w:t>ection</w:t>
      </w:r>
      <w:r w:rsidR="00D30916">
        <w:rPr>
          <w:rFonts w:ascii="Century Schoolbook" w:hAnsi="Century Schoolbook"/>
        </w:rPr>
        <w:t xml:space="preserve"> 10</w:t>
      </w:r>
      <w:r w:rsidR="001D0CF4">
        <w:rPr>
          <w:rFonts w:ascii="Century Schoolbook" w:hAnsi="Century Schoolbook"/>
        </w:rPr>
        <w:t xml:space="preserve"> of the Federal Arbitration Act</w:t>
      </w:r>
      <w:r w:rsidR="009736A3">
        <w:rPr>
          <w:rFonts w:ascii="Century Schoolbook" w:hAnsi="Century Schoolbook"/>
        </w:rPr>
        <w:t xml:space="preserve"> says</w:t>
      </w:r>
      <w:r w:rsidR="008534EB">
        <w:rPr>
          <w:rFonts w:ascii="Century Schoolbook" w:hAnsi="Century Schoolbook"/>
        </w:rPr>
        <w:t xml:space="preserve"> a court may </w:t>
      </w:r>
      <w:r w:rsidR="009736A3">
        <w:rPr>
          <w:rFonts w:ascii="Century Schoolbook" w:hAnsi="Century Schoolbook"/>
        </w:rPr>
        <w:t>vacate an arbitration award in the following circumstances</w:t>
      </w:r>
      <w:r w:rsidR="001D0CF4">
        <w:rPr>
          <w:rFonts w:ascii="Century Schoolbook" w:hAnsi="Century Schoolbook"/>
        </w:rPr>
        <w:t xml:space="preserve">: </w:t>
      </w:r>
    </w:p>
    <w:p w:rsidR="008B7E44" w:rsidP="001D0CF4">
      <w:pPr>
        <w:spacing w:before="120" w:line="276" w:lineRule="auto"/>
        <w:ind w:left="1440" w:hanging="360"/>
        <w:rPr>
          <w:rFonts w:ascii="Century Schoolbook" w:hAnsi="Century Schoolbook"/>
        </w:rPr>
      </w:pPr>
      <w:r>
        <w:rPr>
          <w:rFonts w:ascii="Century Schoolbook" w:hAnsi="Century Schoolbook"/>
        </w:rPr>
        <w:t xml:space="preserve">(1) where the award was procured by corruption, fraud, or undue means; </w:t>
      </w:r>
    </w:p>
    <w:p w:rsidR="008B7E44" w:rsidP="001D0CF4">
      <w:pPr>
        <w:spacing w:line="276" w:lineRule="auto"/>
        <w:ind w:left="1440" w:hanging="360"/>
        <w:rPr>
          <w:rFonts w:ascii="Century Schoolbook" w:hAnsi="Century Schoolbook"/>
        </w:rPr>
      </w:pPr>
      <w:r>
        <w:rPr>
          <w:rFonts w:ascii="Century Schoolbook" w:hAnsi="Century Schoolbook"/>
        </w:rPr>
        <w:t xml:space="preserve">(2) where there was evident partiality or corruption in the arbitrators; </w:t>
      </w:r>
    </w:p>
    <w:p w:rsidR="008B7E44" w:rsidP="001D0CF4">
      <w:pPr>
        <w:spacing w:line="276" w:lineRule="auto"/>
        <w:ind w:left="1440" w:hanging="360"/>
        <w:rPr>
          <w:rFonts w:ascii="Century Schoolbook" w:hAnsi="Century Schoolbook"/>
        </w:rPr>
      </w:pPr>
      <w:r>
        <w:rPr>
          <w:rFonts w:ascii="Century Schoolbook" w:hAnsi="Century Schoolbook"/>
        </w:rPr>
        <w:t xml:space="preserve">(3) where the arbitrators were guilty of misconduct in refusing to postpone the hearing, or in refusing to hear evidence pertinent and material to the controversy, or of any other misbehavior by which the rights of any party have been prejudiced; or </w:t>
      </w:r>
    </w:p>
    <w:p w:rsidR="008B7E44" w:rsidP="001D0CF4">
      <w:pPr>
        <w:spacing w:line="276" w:lineRule="auto"/>
        <w:ind w:left="1440" w:hanging="360"/>
        <w:rPr>
          <w:rFonts w:ascii="Century Schoolbook" w:hAnsi="Century Schoolbook"/>
        </w:rPr>
      </w:pPr>
      <w:r>
        <w:rPr>
          <w:rFonts w:ascii="Century Schoolbook" w:hAnsi="Century Schoolbook"/>
        </w:rPr>
        <w:t>(4) where the arbitrators exceeded their powers, or so imperfectly executed them that a mutual, final, and definite award upon the subject matter submitted was not made.</w:t>
      </w:r>
    </w:p>
    <w:p w:rsidR="008B7E44" w:rsidP="002A196C">
      <w:pPr>
        <w:spacing w:line="480" w:lineRule="exact"/>
        <w:ind w:firstLine="0"/>
        <w:rPr>
          <w:rFonts w:ascii="Century Schoolbook" w:hAnsi="Century Schoolbook"/>
        </w:rPr>
      </w:pPr>
      <w:r>
        <w:rPr>
          <w:rFonts w:ascii="Century Schoolbook" w:hAnsi="Century Schoolbook"/>
        </w:rPr>
        <w:t>9 U.S.C. § 10(a)(1)–(4).</w:t>
      </w:r>
      <w:r w:rsidRPr="001D0CF4" w:rsidR="001D0CF4">
        <w:rPr>
          <w:rFonts w:ascii="Century Schoolbook" w:hAnsi="Century Schoolbook"/>
        </w:rPr>
        <w:t xml:space="preserve"> </w:t>
      </w:r>
      <w:r w:rsidR="009736A3">
        <w:rPr>
          <w:rFonts w:ascii="Century Schoolbook" w:hAnsi="Century Schoolbook"/>
        </w:rPr>
        <w:t>F</w:t>
      </w:r>
      <w:r w:rsidR="00570CBF">
        <w:rPr>
          <w:rFonts w:ascii="Century Schoolbook" w:hAnsi="Century Schoolbook"/>
        </w:rPr>
        <w:t>or decades, c</w:t>
      </w:r>
      <w:r w:rsidR="003352AE">
        <w:rPr>
          <w:rFonts w:ascii="Century Schoolbook" w:hAnsi="Century Schoolbook"/>
        </w:rPr>
        <w:t xml:space="preserve">ourts also </w:t>
      </w:r>
      <w:r w:rsidR="009736A3">
        <w:rPr>
          <w:rFonts w:ascii="Century Schoolbook" w:hAnsi="Century Schoolbook"/>
        </w:rPr>
        <w:t>occasionally</w:t>
      </w:r>
      <w:r w:rsidR="003352AE">
        <w:rPr>
          <w:rFonts w:ascii="Century Schoolbook" w:hAnsi="Century Schoolbook"/>
        </w:rPr>
        <w:t xml:space="preserve"> </w:t>
      </w:r>
      <w:r w:rsidRPr="001B639D" w:rsidR="003352AE">
        <w:rPr>
          <w:rFonts w:ascii="Century Schoolbook" w:hAnsi="Century Schoolbook"/>
        </w:rPr>
        <w:t>v</w:t>
      </w:r>
      <w:r w:rsidR="003352AE">
        <w:rPr>
          <w:rFonts w:ascii="Century Schoolbook" w:hAnsi="Century Schoolbook"/>
        </w:rPr>
        <w:t xml:space="preserve">acated </w:t>
      </w:r>
      <w:r w:rsidR="009736A3">
        <w:rPr>
          <w:rFonts w:ascii="Century Schoolbook" w:hAnsi="Century Schoolbook"/>
        </w:rPr>
        <w:t>an arbitration award based on the</w:t>
      </w:r>
      <w:r w:rsidRPr="001B639D" w:rsidR="003352AE">
        <w:rPr>
          <w:rFonts w:ascii="Century Schoolbook" w:hAnsi="Century Schoolbook"/>
        </w:rPr>
        <w:t xml:space="preserve"> arbitrator’s “manifest disregard of the law”</w:t>
      </w:r>
      <w:r w:rsidR="003352AE">
        <w:rPr>
          <w:rFonts w:ascii="Century Schoolbook" w:hAnsi="Century Schoolbook"/>
        </w:rPr>
        <w:t>—</w:t>
      </w:r>
      <w:r w:rsidR="00570CBF">
        <w:rPr>
          <w:rFonts w:ascii="Century Schoolbook" w:hAnsi="Century Schoolbook"/>
        </w:rPr>
        <w:t>and</w:t>
      </w:r>
      <w:r w:rsidR="003352AE">
        <w:rPr>
          <w:rFonts w:ascii="Century Schoolbook" w:hAnsi="Century Schoolbook"/>
        </w:rPr>
        <w:t xml:space="preserve"> most circuits </w:t>
      </w:r>
      <w:r w:rsidR="009736A3">
        <w:rPr>
          <w:rFonts w:ascii="Century Schoolbook" w:hAnsi="Century Schoolbook"/>
        </w:rPr>
        <w:t>characteriz</w:t>
      </w:r>
      <w:r w:rsidRPr="001B639D" w:rsidR="003352AE">
        <w:rPr>
          <w:rFonts w:ascii="Century Schoolbook" w:hAnsi="Century Schoolbook"/>
        </w:rPr>
        <w:t xml:space="preserve">ed </w:t>
      </w:r>
      <w:r w:rsidR="003352AE">
        <w:rPr>
          <w:rFonts w:ascii="Century Schoolbook" w:hAnsi="Century Schoolbook"/>
        </w:rPr>
        <w:t>this</w:t>
      </w:r>
      <w:r w:rsidRPr="001B639D" w:rsidR="003352AE">
        <w:rPr>
          <w:rFonts w:ascii="Century Schoolbook" w:hAnsi="Century Schoolbook"/>
        </w:rPr>
        <w:t xml:space="preserve"> as a</w:t>
      </w:r>
      <w:r w:rsidR="009736A3">
        <w:rPr>
          <w:rFonts w:ascii="Century Schoolbook" w:hAnsi="Century Schoolbook"/>
        </w:rPr>
        <w:t>n additional common-law ground for vacating the award</w:t>
      </w:r>
      <w:r w:rsidRPr="001B639D" w:rsidR="003352AE">
        <w:rPr>
          <w:rFonts w:ascii="Century Schoolbook" w:hAnsi="Century Schoolbook"/>
        </w:rPr>
        <w:t xml:space="preserve">. </w:t>
      </w:r>
      <w:r w:rsidR="00570CBF">
        <w:rPr>
          <w:rFonts w:ascii="Century Schoolbook" w:hAnsi="Century Schoolbook"/>
        </w:rPr>
        <w:t>But i</w:t>
      </w:r>
      <w:r w:rsidRPr="001B639D" w:rsidR="001D0CF4">
        <w:rPr>
          <w:rFonts w:ascii="Century Schoolbook" w:hAnsi="Century Schoolbook"/>
        </w:rPr>
        <w:t>n</w:t>
      </w:r>
      <w:r w:rsidR="009736A3">
        <w:rPr>
          <w:rFonts w:ascii="Century Schoolbook" w:hAnsi="Century Schoolbook"/>
        </w:rPr>
        <w:t xml:space="preserve"> 2008, </w:t>
      </w:r>
      <w:r w:rsidRPr="001B639D" w:rsidR="001D0CF4">
        <w:rPr>
          <w:rFonts w:ascii="Century Schoolbook" w:hAnsi="Century Schoolbook"/>
        </w:rPr>
        <w:t xml:space="preserve">the </w:t>
      </w:r>
      <w:r w:rsidR="002A196C">
        <w:rPr>
          <w:rFonts w:ascii="Century Schoolbook" w:hAnsi="Century Schoolbook"/>
        </w:rPr>
        <w:t xml:space="preserve">Supreme </w:t>
      </w:r>
      <w:r w:rsidR="009736A3">
        <w:rPr>
          <w:rFonts w:ascii="Century Schoolbook" w:hAnsi="Century Schoolbook"/>
        </w:rPr>
        <w:t>Court held that S</w:t>
      </w:r>
      <w:r w:rsidRPr="001B639D" w:rsidR="001D0CF4">
        <w:rPr>
          <w:rFonts w:ascii="Century Schoolbook" w:hAnsi="Century Schoolbook"/>
        </w:rPr>
        <w:t xml:space="preserve">ection 10 </w:t>
      </w:r>
      <w:r w:rsidR="009736A3">
        <w:rPr>
          <w:rFonts w:ascii="Century Schoolbook" w:hAnsi="Century Schoolbook"/>
        </w:rPr>
        <w:t xml:space="preserve">of the FAA </w:t>
      </w:r>
      <w:r w:rsidRPr="001B639D" w:rsidR="001D0CF4">
        <w:rPr>
          <w:rFonts w:ascii="Century Schoolbook" w:hAnsi="Century Schoolbook"/>
        </w:rPr>
        <w:t>provides the “exclusive” grounds f</w:t>
      </w:r>
      <w:r w:rsidR="002A196C">
        <w:rPr>
          <w:rFonts w:ascii="Century Schoolbook" w:hAnsi="Century Schoolbook"/>
        </w:rPr>
        <w:t>or vacatur</w:t>
      </w:r>
      <w:r w:rsidRPr="001B639D" w:rsidR="001D0CF4">
        <w:rPr>
          <w:rFonts w:ascii="Century Schoolbook" w:hAnsi="Century Schoolbook"/>
        </w:rPr>
        <w:t xml:space="preserve">. </w:t>
      </w:r>
      <w:r w:rsidRPr="001B639D" w:rsidR="009736A3">
        <w:rPr>
          <w:rFonts w:ascii="Century Schoolbook" w:hAnsi="Century Schoolbook"/>
          <w:i/>
        </w:rPr>
        <w:t>Hall Street Associates, LLC v. Mattel, Inc.</w:t>
      </w:r>
      <w:r w:rsidRPr="001B639D" w:rsidR="009736A3">
        <w:rPr>
          <w:rFonts w:ascii="Century Schoolbook" w:hAnsi="Century Schoolbook"/>
        </w:rPr>
        <w:t xml:space="preserve">, </w:t>
      </w:r>
      <w:r w:rsidRPr="001B639D" w:rsidR="001D0CF4">
        <w:rPr>
          <w:rFonts w:ascii="Century Schoolbook" w:hAnsi="Century Schoolbook"/>
        </w:rPr>
        <w:t>552 U.S. 576, 584–585</w:t>
      </w:r>
      <w:r w:rsidR="001D0CF4">
        <w:rPr>
          <w:rFonts w:ascii="Century Schoolbook" w:hAnsi="Century Schoolbook"/>
        </w:rPr>
        <w:t xml:space="preserve"> (2008)</w:t>
      </w:r>
      <w:r w:rsidRPr="001B639D" w:rsidR="001D0CF4">
        <w:rPr>
          <w:rFonts w:ascii="Century Schoolbook" w:hAnsi="Century Schoolbook"/>
        </w:rPr>
        <w:t>.</w:t>
      </w:r>
      <w:r w:rsidR="002A196C">
        <w:rPr>
          <w:rFonts w:ascii="Century Schoolbook" w:hAnsi="Century Schoolbook"/>
        </w:rPr>
        <w:t xml:space="preserve"> </w:t>
      </w:r>
      <w:r w:rsidR="009736A3">
        <w:rPr>
          <w:rFonts w:ascii="Century Schoolbook" w:hAnsi="Century Schoolbook"/>
        </w:rPr>
        <w:t xml:space="preserve">And since </w:t>
      </w:r>
      <w:r w:rsidRPr="009736A3" w:rsidR="009736A3">
        <w:rPr>
          <w:rFonts w:ascii="Century Schoolbook" w:hAnsi="Century Schoolbook"/>
        </w:rPr>
        <w:t>then</w:t>
      </w:r>
      <w:r w:rsidR="00B64A76">
        <w:rPr>
          <w:rFonts w:ascii="Century Schoolbook" w:hAnsi="Century Schoolbook"/>
        </w:rPr>
        <w:t xml:space="preserve">, a circuit split </w:t>
      </w:r>
      <w:r w:rsidR="008B347F">
        <w:rPr>
          <w:rFonts w:ascii="Century Schoolbook" w:hAnsi="Century Schoolbook"/>
        </w:rPr>
        <w:t xml:space="preserve">has </w:t>
      </w:r>
      <w:r w:rsidR="00EE60F6">
        <w:rPr>
          <w:rFonts w:ascii="Century Schoolbook" w:hAnsi="Century Schoolbook"/>
        </w:rPr>
        <w:t xml:space="preserve">developed over </w:t>
      </w:r>
      <w:r w:rsidR="008B347F">
        <w:rPr>
          <w:rFonts w:ascii="Century Schoolbook" w:hAnsi="Century Schoolbook"/>
        </w:rPr>
        <w:t>whether</w:t>
      </w:r>
      <w:r w:rsidR="00BA1AB2">
        <w:rPr>
          <w:rFonts w:ascii="Century Schoolbook" w:hAnsi="Century Schoolbook"/>
        </w:rPr>
        <w:t xml:space="preserve"> “manifest disregard” </w:t>
      </w:r>
      <w:r w:rsidR="008B347F">
        <w:rPr>
          <w:rFonts w:ascii="Century Schoolbook" w:hAnsi="Century Schoolbook"/>
        </w:rPr>
        <w:t xml:space="preserve">remains available </w:t>
      </w:r>
      <w:r w:rsidR="00A6798C">
        <w:rPr>
          <w:rFonts w:ascii="Century Schoolbook" w:hAnsi="Century Schoolbook"/>
        </w:rPr>
        <w:t>as a</w:t>
      </w:r>
      <w:r w:rsidR="00BA1AB2">
        <w:rPr>
          <w:rFonts w:ascii="Century Schoolbook" w:hAnsi="Century Schoolbook"/>
        </w:rPr>
        <w:t xml:space="preserve"> </w:t>
      </w:r>
      <w:r w:rsidR="008B347F">
        <w:rPr>
          <w:rFonts w:ascii="Century Schoolbook" w:hAnsi="Century Schoolbook"/>
        </w:rPr>
        <w:t xml:space="preserve">basis for </w:t>
      </w:r>
      <w:r w:rsidR="009736A3">
        <w:rPr>
          <w:rFonts w:ascii="Century Schoolbook" w:hAnsi="Century Schoolbook"/>
        </w:rPr>
        <w:t>vacat</w:t>
      </w:r>
      <w:r w:rsidR="008B347F">
        <w:rPr>
          <w:rFonts w:ascii="Century Schoolbook" w:hAnsi="Century Schoolbook"/>
        </w:rPr>
        <w:t>ing an arbitration award</w:t>
      </w:r>
      <w:r w:rsidR="00A74BA5">
        <w:rPr>
          <w:rFonts w:ascii="Century Schoolbook" w:hAnsi="Century Schoolbook"/>
        </w:rPr>
        <w:t>.</w:t>
      </w:r>
      <w:r w:rsidR="00BA1AB2">
        <w:rPr>
          <w:rFonts w:ascii="Century Schoolbook" w:hAnsi="Century Schoolbook"/>
        </w:rPr>
        <w:t xml:space="preserve"> </w:t>
      </w:r>
    </w:p>
    <w:p w:rsidR="00077AC8" w:rsidP="00A4590B">
      <w:pPr>
        <w:spacing w:line="480" w:lineRule="exact"/>
        <w:rPr>
          <w:rFonts w:ascii="Century Schoolbook" w:hAnsi="Century Schoolbook"/>
        </w:rPr>
      </w:pPr>
      <w:r>
        <w:rPr>
          <w:rFonts w:ascii="Century Schoolbook" w:hAnsi="Century Schoolbook"/>
        </w:rPr>
        <w:t>T</w:t>
      </w:r>
      <w:r w:rsidR="008F332E">
        <w:rPr>
          <w:rFonts w:ascii="Century Schoolbook" w:hAnsi="Century Schoolbook"/>
        </w:rPr>
        <w:t xml:space="preserve">he Seventh, Eighth, and Eleventh Circuits </w:t>
      </w:r>
      <w:r>
        <w:rPr>
          <w:rFonts w:ascii="Century Schoolbook" w:hAnsi="Century Schoolbook"/>
        </w:rPr>
        <w:t>quickly</w:t>
      </w:r>
      <w:r>
        <w:rPr>
          <w:rFonts w:ascii="Century Schoolbook" w:hAnsi="Century Schoolbook"/>
        </w:rPr>
        <w:t xml:space="preserve"> </w:t>
      </w:r>
      <w:r w:rsidR="008F332E">
        <w:rPr>
          <w:rFonts w:ascii="Century Schoolbook" w:hAnsi="Century Schoolbook"/>
        </w:rPr>
        <w:t>decided</w:t>
      </w:r>
      <w:r>
        <w:rPr>
          <w:rFonts w:ascii="Century Schoolbook" w:hAnsi="Century Schoolbook"/>
        </w:rPr>
        <w:t xml:space="preserve"> that</w:t>
      </w:r>
      <w:r w:rsidR="00A6798C">
        <w:rPr>
          <w:rFonts w:ascii="Century Schoolbook" w:hAnsi="Century Schoolbook"/>
        </w:rPr>
        <w:t xml:space="preserve"> “manifest disregard</w:t>
      </w:r>
      <w:r w:rsidR="008F332E">
        <w:rPr>
          <w:rFonts w:ascii="Century Schoolbook" w:hAnsi="Century Schoolbook"/>
        </w:rPr>
        <w:t>”</w:t>
      </w:r>
      <w:r w:rsidR="005D12E3">
        <w:rPr>
          <w:rFonts w:ascii="Century Schoolbook" w:hAnsi="Century Schoolbook"/>
        </w:rPr>
        <w:t xml:space="preserve"> is no longer </w:t>
      </w:r>
      <w:r w:rsidR="00A6798C">
        <w:rPr>
          <w:rFonts w:ascii="Century Schoolbook" w:hAnsi="Century Schoolbook"/>
        </w:rPr>
        <w:t>available</w:t>
      </w:r>
      <w:r>
        <w:rPr>
          <w:rFonts w:ascii="Century Schoolbook" w:hAnsi="Century Schoolbook"/>
        </w:rPr>
        <w:t xml:space="preserve"> because it </w:t>
      </w:r>
      <w:r w:rsidR="00CE4308">
        <w:rPr>
          <w:rFonts w:ascii="Century Schoolbook" w:hAnsi="Century Schoolbook"/>
        </w:rPr>
        <w:t>doesn’t appear</w:t>
      </w:r>
      <w:r>
        <w:rPr>
          <w:rFonts w:ascii="Century Schoolbook" w:hAnsi="Century Schoolbook"/>
        </w:rPr>
        <w:t xml:space="preserve"> in Section 10</w:t>
      </w:r>
      <w:r w:rsidR="00CE4308">
        <w:rPr>
          <w:rFonts w:ascii="Century Schoolbook" w:hAnsi="Century Schoolbook"/>
        </w:rPr>
        <w:t xml:space="preserve"> of the FAA</w:t>
      </w:r>
      <w:r w:rsidR="008F332E">
        <w:rPr>
          <w:rFonts w:ascii="Century Schoolbook" w:hAnsi="Century Schoolbook"/>
        </w:rPr>
        <w:t xml:space="preserve">. </w:t>
      </w:r>
      <w:r w:rsidRPr="008F332E" w:rsidR="008F332E">
        <w:rPr>
          <w:rFonts w:ascii="Century Schoolbook" w:hAnsi="Century Schoolbook"/>
          <w:i/>
        </w:rPr>
        <w:t>Affymax, Inc. v. Ortho-McNeil-Janssen Pharm., Inc.</w:t>
      </w:r>
      <w:r w:rsidRPr="008F332E" w:rsidR="008F332E">
        <w:rPr>
          <w:rFonts w:ascii="Century Schoolbook" w:hAnsi="Century Schoolbook"/>
        </w:rPr>
        <w:t>, 660 F.3d 281, 284–285 (7th Cir. 2011)</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Affymax, Inc. v. Ortho-McNeil-Janssen Pharm., Inc.</w:instrText>
      </w:r>
      <w:r w:rsidRPr="008F332E" w:rsidR="008F332E">
        <w:rPr>
          <w:rFonts w:ascii="Century Schoolbook" w:hAnsi="Century Schoolbook"/>
        </w:rPr>
        <w:instrText xml:space="preserve">, 660 F.3d 28 (7th Cir. 2011)" \s "Affymax, Inc. v. Ortho-McNeil-Janssen Pharm., Inc., 660 F.3d 281 (7th Cir. 2011)" \c 1 </w:instrText>
      </w:r>
      <w:r>
        <w:rPr>
          <w:rFonts w:ascii="Century Schoolbook" w:hAnsi="Century Schoolbook"/>
        </w:rPr>
        <w:fldChar w:fldCharType="end"/>
      </w:r>
      <w:r w:rsidRPr="008F332E" w:rsidR="008F332E">
        <w:rPr>
          <w:rFonts w:ascii="Century Schoolbook" w:hAnsi="Century Schoolbook"/>
        </w:rPr>
        <w:t>;</w:t>
      </w:r>
      <w:r w:rsidR="004A090F">
        <w:rPr>
          <w:rFonts w:ascii="Century Schoolbook" w:hAnsi="Century Schoolbook"/>
        </w:rPr>
        <w:t xml:space="preserve"> </w:t>
      </w:r>
      <w:r w:rsidRPr="008F332E" w:rsidR="008F332E">
        <w:rPr>
          <w:rFonts w:ascii="Century Schoolbook" w:hAnsi="Century Schoolbook"/>
          <w:i/>
        </w:rPr>
        <w:t>Medicine Shoppe Intern., Inc. v. Turner Invest., Inc.</w:t>
      </w:r>
      <w:r w:rsidRPr="008F332E" w:rsidR="008F332E">
        <w:rPr>
          <w:rFonts w:ascii="Century Schoolbook" w:hAnsi="Century Schoolbook"/>
        </w:rPr>
        <w:t>, 614 F.3d 485, 489 (8th Cir. 2010)</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Medicine Shoppe Intern., Inc. v. Turner Invest., Inc.</w:instrText>
      </w:r>
      <w:r w:rsidRPr="008F332E" w:rsidR="008F332E">
        <w:rPr>
          <w:rFonts w:ascii="Century Schoolbook" w:hAnsi="Century Schoolbook"/>
        </w:rPr>
        <w:instrText xml:space="preserve">, 614 F.3d 485 (8th Cir. 2010)" \s "Medicine Shoppe Intern., Inc. v. Turner Invest., Inc., 614 F.3d 485 (8th Cir. 2010)" \c 1 </w:instrText>
      </w:r>
      <w:r>
        <w:rPr>
          <w:rFonts w:ascii="Century Schoolbook" w:hAnsi="Century Schoolbook"/>
        </w:rPr>
        <w:fldChar w:fldCharType="end"/>
      </w:r>
      <w:r w:rsidRPr="008F332E" w:rsidR="008F332E">
        <w:rPr>
          <w:rFonts w:ascii="Century Schoolbook" w:hAnsi="Century Schoolbook"/>
        </w:rPr>
        <w:t xml:space="preserve">; </w:t>
      </w:r>
      <w:r w:rsidRPr="008F332E" w:rsidR="008F332E">
        <w:rPr>
          <w:rFonts w:ascii="Century Schoolbook" w:hAnsi="Century Schoolbook"/>
          <w:i/>
        </w:rPr>
        <w:t>Frazier v. CitiFinancial Corp., LLC</w:t>
      </w:r>
      <w:r w:rsidRPr="008F332E" w:rsidR="008F332E">
        <w:rPr>
          <w:rFonts w:ascii="Century Schoolbook" w:hAnsi="Century Schoolbook"/>
        </w:rPr>
        <w:t xml:space="preserve">, 604 F.3d 1313, 1323–1324 </w:t>
      </w:r>
      <w:r w:rsidRPr="008F332E" w:rsidR="008F332E">
        <w:rPr>
          <w:rFonts w:ascii="Century Schoolbook" w:hAnsi="Century Schoolbook"/>
        </w:rPr>
        <w:t>(11th Cir. 2010)</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Frazier v. CitiFinancial Corp., LLC</w:instrText>
      </w:r>
      <w:r w:rsidRPr="008F332E" w:rsidR="008F332E">
        <w:rPr>
          <w:rFonts w:ascii="Century Schoolbook" w:hAnsi="Century Schoolbook"/>
        </w:rPr>
        <w:instrText xml:space="preserve">, 604 F.3d 1313 (11th Cir. 2010)" \s "Frazier v. CitiFinancial Corp., LLC, 604 F.3d 1313 (11th Cir. 2010)" \c 1 </w:instrText>
      </w:r>
      <w:r>
        <w:rPr>
          <w:rFonts w:ascii="Century Schoolbook" w:hAnsi="Century Schoolbook"/>
        </w:rPr>
        <w:fldChar w:fldCharType="end"/>
      </w:r>
      <w:r w:rsidRPr="008F332E" w:rsidR="008F332E">
        <w:rPr>
          <w:rFonts w:ascii="Century Schoolbook" w:hAnsi="Century Schoolbook"/>
        </w:rPr>
        <w:t>.</w:t>
      </w:r>
      <w:r>
        <w:rPr>
          <w:rFonts w:ascii="Century Schoolbook" w:hAnsi="Century Schoolbook"/>
        </w:rPr>
        <w:t xml:space="preserve"> And the Fifth Circuit likewise rejected “manifest disregard”</w:t>
      </w:r>
      <w:r w:rsidR="00A4590B">
        <w:rPr>
          <w:rFonts w:ascii="Century Schoolbook" w:hAnsi="Century Schoolbook"/>
        </w:rPr>
        <w:t xml:space="preserve"> after </w:t>
      </w:r>
      <w:r w:rsidR="00A4590B">
        <w:rPr>
          <w:rFonts w:ascii="Century Schoolbook" w:hAnsi="Century Schoolbook"/>
          <w:i/>
        </w:rPr>
        <w:t>Hall Street</w:t>
      </w:r>
      <w:r>
        <w:rPr>
          <w:rFonts w:ascii="Century Schoolbook" w:hAnsi="Century Schoolbook"/>
        </w:rPr>
        <w:t>—but only “to the extent that [it] constitutes a nonstatutory ground for vacatur.”</w:t>
      </w:r>
      <w:r w:rsidRPr="00077AC8">
        <w:rPr>
          <w:rFonts w:ascii="Century Schoolbook" w:hAnsi="Century Schoolbook"/>
          <w:i/>
        </w:rPr>
        <w:t xml:space="preserve"> </w:t>
      </w:r>
      <w:r w:rsidRPr="008F332E">
        <w:rPr>
          <w:rFonts w:ascii="Century Schoolbook" w:hAnsi="Century Schoolbook"/>
          <w:i/>
        </w:rPr>
        <w:t>Citigroup Global Markets, Inc. v. Bacon</w:t>
      </w:r>
      <w:r w:rsidRPr="008F332E">
        <w:rPr>
          <w:rFonts w:ascii="Century Schoolbook" w:hAnsi="Century Schoolbook"/>
        </w:rPr>
        <w:t>, 562 F.3d 349</w:t>
      </w:r>
      <w:r>
        <w:rPr>
          <w:rFonts w:ascii="Century Schoolbook" w:hAnsi="Century Schoolbook"/>
        </w:rPr>
        <w:t>, 355</w:t>
      </w:r>
      <w:r w:rsidRPr="008F332E">
        <w:rPr>
          <w:rFonts w:ascii="Century Schoolbook" w:hAnsi="Century Schoolbook"/>
        </w:rPr>
        <w:t xml:space="preserve"> (5th Cir. 2009)</w:t>
      </w:r>
      <w:r>
        <w:rPr>
          <w:rFonts w:ascii="Century Schoolbook" w:hAnsi="Century Schoolbook"/>
        </w:rPr>
        <w:t>.</w:t>
      </w:r>
      <w:r w:rsidR="00A6798C">
        <w:rPr>
          <w:rFonts w:ascii="Century Schoolbook" w:hAnsi="Century Schoolbook"/>
        </w:rPr>
        <w:t xml:space="preserve"> Unlike the Seventh, Eighth, and Eleventh Circuits, t</w:t>
      </w:r>
      <w:r w:rsidR="00A4590B">
        <w:rPr>
          <w:rFonts w:ascii="Century Schoolbook" w:hAnsi="Century Schoolbook"/>
        </w:rPr>
        <w:t xml:space="preserve">he Fifth Circuit left open the possibility that </w:t>
      </w:r>
      <w:r w:rsidRPr="008F332E" w:rsidR="00A4590B">
        <w:rPr>
          <w:rFonts w:ascii="Century Schoolbook" w:hAnsi="Century Schoolbook"/>
        </w:rPr>
        <w:t xml:space="preserve">“manifest disregard” </w:t>
      </w:r>
      <w:r w:rsidR="00A4590B">
        <w:rPr>
          <w:rFonts w:ascii="Century Schoolbook" w:hAnsi="Century Schoolbook"/>
        </w:rPr>
        <w:t>might</w:t>
      </w:r>
      <w:r w:rsidRPr="008F332E" w:rsidR="00A4590B">
        <w:rPr>
          <w:rFonts w:ascii="Century Schoolbook" w:hAnsi="Century Schoolbook"/>
        </w:rPr>
        <w:t xml:space="preserve"> be reconceptualized </w:t>
      </w:r>
      <w:r w:rsidR="00A4590B">
        <w:rPr>
          <w:rFonts w:ascii="Century Schoolbook" w:hAnsi="Century Schoolbook"/>
        </w:rPr>
        <w:t xml:space="preserve">as a </w:t>
      </w:r>
      <w:r w:rsidRPr="00A4590B" w:rsidR="00A4590B">
        <w:rPr>
          <w:rFonts w:ascii="Century Schoolbook" w:hAnsi="Century Schoolbook"/>
        </w:rPr>
        <w:t>statutory</w:t>
      </w:r>
      <w:r w:rsidR="00A4590B">
        <w:rPr>
          <w:rFonts w:ascii="Century Schoolbook" w:hAnsi="Century Schoolbook"/>
          <w:b/>
        </w:rPr>
        <w:t xml:space="preserve"> </w:t>
      </w:r>
      <w:r w:rsidR="00A4590B">
        <w:rPr>
          <w:rFonts w:ascii="Century Schoolbook" w:hAnsi="Century Schoolbook"/>
        </w:rPr>
        <w:t xml:space="preserve">ground for vacatur under Section 10. </w:t>
      </w:r>
      <w:r w:rsidR="00A4590B">
        <w:rPr>
          <w:rFonts w:ascii="Century Schoolbook" w:hAnsi="Century Schoolbook"/>
          <w:i/>
        </w:rPr>
        <w:t>Id.</w:t>
      </w:r>
      <w:r w:rsidR="00A4590B">
        <w:rPr>
          <w:rFonts w:ascii="Century Schoolbook" w:hAnsi="Century Schoolbook"/>
        </w:rPr>
        <w:t xml:space="preserve"> at 356–357.</w:t>
      </w:r>
    </w:p>
    <w:p w:rsidR="0092282B" w:rsidP="008F332E">
      <w:pPr>
        <w:spacing w:line="480" w:lineRule="exact"/>
        <w:rPr>
          <w:rFonts w:ascii="Century Schoolbook" w:hAnsi="Century Schoolbook"/>
        </w:rPr>
      </w:pPr>
      <w:r>
        <w:rPr>
          <w:rFonts w:ascii="Century Schoolbook" w:hAnsi="Century Schoolbook"/>
        </w:rPr>
        <w:t>The Fifth Circuit’s hedge was based on</w:t>
      </w:r>
      <w:r w:rsidR="008F332E">
        <w:rPr>
          <w:rFonts w:ascii="Century Schoolbook" w:hAnsi="Century Schoolbook"/>
        </w:rPr>
        <w:t xml:space="preserve"> </w:t>
      </w:r>
      <w:r w:rsidR="008F332E">
        <w:rPr>
          <w:rFonts w:ascii="Century Schoolbook" w:hAnsi="Century Schoolbook"/>
          <w:i/>
        </w:rPr>
        <w:t>Hall Street</w:t>
      </w:r>
      <w:r w:rsidR="008F332E">
        <w:rPr>
          <w:rFonts w:ascii="Century Schoolbook" w:hAnsi="Century Schoolbook"/>
        </w:rPr>
        <w:t xml:space="preserve"> </w:t>
      </w:r>
      <w:r>
        <w:rPr>
          <w:rFonts w:ascii="Century Schoolbook" w:hAnsi="Century Schoolbook"/>
        </w:rPr>
        <w:t xml:space="preserve">itself, where </w:t>
      </w:r>
      <w:r w:rsidR="008F332E">
        <w:rPr>
          <w:rFonts w:ascii="Century Schoolbook" w:hAnsi="Century Schoolbook"/>
        </w:rPr>
        <w:t xml:space="preserve">the Supreme Court </w:t>
      </w:r>
      <w:r>
        <w:rPr>
          <w:rFonts w:ascii="Century Schoolbook" w:hAnsi="Century Schoolbook"/>
        </w:rPr>
        <w:t xml:space="preserve">had </w:t>
      </w:r>
      <w:r w:rsidR="005D12E3">
        <w:rPr>
          <w:rFonts w:ascii="Century Schoolbook" w:hAnsi="Century Schoolbook"/>
        </w:rPr>
        <w:t>not</w:t>
      </w:r>
      <w:r w:rsidR="008F332E">
        <w:rPr>
          <w:rFonts w:ascii="Century Schoolbook" w:hAnsi="Century Schoolbook"/>
        </w:rPr>
        <w:t>ed that, as a basis for vacating arbitration awards, “</w:t>
      </w:r>
      <w:r w:rsidR="005D12E3">
        <w:rPr>
          <w:rFonts w:ascii="Century Schoolbook" w:hAnsi="Century Schoolbook"/>
        </w:rPr>
        <w:t>manifest disregard</w:t>
      </w:r>
      <w:r w:rsidR="008F332E">
        <w:rPr>
          <w:rFonts w:ascii="Century Schoolbook" w:hAnsi="Century Schoolbook"/>
        </w:rPr>
        <w:t xml:space="preserve">” </w:t>
      </w:r>
      <w:r>
        <w:rPr>
          <w:rFonts w:ascii="Century Schoolbook" w:hAnsi="Century Schoolbook"/>
        </w:rPr>
        <w:t xml:space="preserve">had </w:t>
      </w:r>
      <w:r w:rsidR="005D12E3">
        <w:rPr>
          <w:rFonts w:ascii="Century Schoolbook" w:hAnsi="Century Schoolbook"/>
        </w:rPr>
        <w:t>originated</w:t>
      </w:r>
      <w:r w:rsidR="008F332E">
        <w:rPr>
          <w:rFonts w:ascii="Century Schoolbook" w:hAnsi="Century Schoolbook"/>
        </w:rPr>
        <w:t xml:space="preserve"> in language from one of the Court’s </w:t>
      </w:r>
      <w:r w:rsidR="00A6798C">
        <w:rPr>
          <w:rFonts w:ascii="Century Schoolbook" w:hAnsi="Century Schoolbook"/>
        </w:rPr>
        <w:t>own</w:t>
      </w:r>
      <w:r w:rsidR="008F332E">
        <w:rPr>
          <w:rFonts w:ascii="Century Schoolbook" w:hAnsi="Century Schoolbook"/>
        </w:rPr>
        <w:t xml:space="preserve"> decisions. </w:t>
      </w:r>
      <w:r w:rsidRPr="00A4590B" w:rsidR="008F332E">
        <w:rPr>
          <w:rFonts w:ascii="Century Schoolbook" w:hAnsi="Century Schoolbook"/>
        </w:rPr>
        <w:t>See</w:t>
      </w:r>
      <w:r w:rsidR="008F332E">
        <w:rPr>
          <w:rFonts w:ascii="Century Schoolbook" w:hAnsi="Century Schoolbook"/>
        </w:rPr>
        <w:t xml:space="preserve"> </w:t>
      </w:r>
      <w:r>
        <w:rPr>
          <w:rFonts w:ascii="Century Schoolbook" w:hAnsi="Century Schoolbook"/>
          <w:i/>
        </w:rPr>
        <w:t>Hall Street</w:t>
      </w:r>
      <w:r>
        <w:rPr>
          <w:rFonts w:ascii="Century Schoolbook" w:hAnsi="Century Schoolbook"/>
        </w:rPr>
        <w:t>,</w:t>
      </w:r>
      <w:r>
        <w:rPr>
          <w:rFonts w:ascii="Century Schoolbook" w:hAnsi="Century Schoolbook"/>
          <w:i/>
        </w:rPr>
        <w:t xml:space="preserve"> </w:t>
      </w:r>
      <w:r w:rsidR="008F332E">
        <w:rPr>
          <w:rFonts w:ascii="Century Schoolbook" w:hAnsi="Century Schoolbook"/>
        </w:rPr>
        <w:t>552 U.S. at 584–585</w:t>
      </w:r>
      <w:r w:rsidR="00F70DB5">
        <w:rPr>
          <w:rFonts w:ascii="Century Schoolbook" w:hAnsi="Century Schoolbook"/>
        </w:rPr>
        <w:t xml:space="preserve"> </w:t>
      </w:r>
      <w:r w:rsidR="008F332E">
        <w:rPr>
          <w:rFonts w:ascii="Century Schoolbook" w:hAnsi="Century Schoolbook"/>
        </w:rPr>
        <w:t xml:space="preserve">(discussing </w:t>
      </w:r>
      <w:r w:rsidRPr="001B639D" w:rsidR="008F332E">
        <w:rPr>
          <w:rFonts w:ascii="Century Schoolbook" w:hAnsi="Century Schoolbook"/>
          <w:i/>
        </w:rPr>
        <w:t xml:space="preserve">Wilko v. </w:t>
      </w:r>
      <w:r w:rsidRPr="008F332E" w:rsidR="008F332E">
        <w:rPr>
          <w:rFonts w:ascii="Century Schoolbook" w:hAnsi="Century Schoolbook"/>
          <w:i/>
        </w:rPr>
        <w:t>Swan</w:t>
      </w:r>
      <w:r w:rsidR="008F332E">
        <w:rPr>
          <w:rFonts w:ascii="Century Schoolbook" w:hAnsi="Century Schoolbook"/>
        </w:rPr>
        <w:t>,</w:t>
      </w:r>
      <w:r w:rsidR="00F70DB5">
        <w:rPr>
          <w:rFonts w:ascii="Century Schoolbook" w:hAnsi="Century Schoolbook"/>
        </w:rPr>
        <w:t xml:space="preserve"> </w:t>
      </w:r>
      <w:r w:rsidR="008F332E">
        <w:rPr>
          <w:rFonts w:ascii="Century Schoolbook" w:hAnsi="Century Schoolbook"/>
        </w:rPr>
        <w:t xml:space="preserve">346 U.S. 427, 436 (1953), </w:t>
      </w:r>
      <w:r w:rsidRPr="00EB6F92" w:rsidR="00EB6F92">
        <w:rPr>
          <w:rFonts w:ascii="Century Schoolbook" w:hAnsi="Century Schoolbook"/>
          <w:i/>
        </w:rPr>
        <w:t>overruled on other grounds by</w:t>
      </w:r>
      <w:r w:rsidR="00F70DB5">
        <w:rPr>
          <w:rFonts w:ascii="Century Schoolbook" w:hAnsi="Century Schoolbook"/>
          <w:i/>
        </w:rPr>
        <w:t xml:space="preserve"> </w:t>
      </w:r>
      <w:r w:rsidRPr="008F332E" w:rsidR="008F332E">
        <w:rPr>
          <w:rFonts w:ascii="Century Schoolbook" w:hAnsi="Century Schoolbook"/>
          <w:i/>
        </w:rPr>
        <w:t>Rodriguez de Quijas v. Shearson/American Express, Inc.</w:t>
      </w:r>
      <w:r w:rsidRPr="008F332E" w:rsidR="008F332E">
        <w:rPr>
          <w:rFonts w:ascii="Century Schoolbook" w:hAnsi="Century Schoolbook"/>
        </w:rPr>
        <w:t>, 490 U.S. 477 (1989)</w:t>
      </w:r>
      <w:r>
        <w:rPr>
          <w:rFonts w:ascii="Century Schoolbook" w:hAnsi="Century Schoolbook"/>
        </w:rPr>
        <w:t>). I</w:t>
      </w:r>
      <w:r w:rsidR="008F332E">
        <w:rPr>
          <w:rFonts w:ascii="Century Schoolbook" w:hAnsi="Century Schoolbook"/>
        </w:rPr>
        <w:t xml:space="preserve">nstead of </w:t>
      </w:r>
      <w:r>
        <w:rPr>
          <w:rFonts w:ascii="Century Schoolbook" w:hAnsi="Century Schoolbook"/>
        </w:rPr>
        <w:t xml:space="preserve">simply </w:t>
      </w:r>
      <w:r w:rsidR="008F332E">
        <w:rPr>
          <w:rFonts w:ascii="Century Schoolbook" w:hAnsi="Century Schoolbook"/>
        </w:rPr>
        <w:t xml:space="preserve">rejecting “manifest disregard” as an invalid </w:t>
      </w:r>
      <w:r w:rsidR="00CE4308">
        <w:rPr>
          <w:rFonts w:ascii="Century Schoolbook" w:hAnsi="Century Schoolbook"/>
        </w:rPr>
        <w:t xml:space="preserve">nonstatutory ground for vacatur, </w:t>
      </w:r>
      <w:r w:rsidR="008F332E">
        <w:rPr>
          <w:rFonts w:ascii="Century Schoolbook" w:hAnsi="Century Schoolbook"/>
        </w:rPr>
        <w:t xml:space="preserve">the </w:t>
      </w:r>
      <w:r>
        <w:rPr>
          <w:rFonts w:ascii="Century Schoolbook" w:hAnsi="Century Schoolbook"/>
        </w:rPr>
        <w:t xml:space="preserve">Supreme </w:t>
      </w:r>
      <w:r w:rsidR="008F332E">
        <w:rPr>
          <w:rFonts w:ascii="Century Schoolbook" w:hAnsi="Century Schoolbook"/>
        </w:rPr>
        <w:t xml:space="preserve">Court </w:t>
      </w:r>
      <w:r w:rsidRPr="008F332E" w:rsidR="008F332E">
        <w:rPr>
          <w:rFonts w:ascii="Century Schoolbook" w:hAnsi="Century Schoolbook"/>
        </w:rPr>
        <w:t xml:space="preserve">recognized that </w:t>
      </w:r>
      <w:r w:rsidR="00CE4308">
        <w:rPr>
          <w:rFonts w:ascii="Century Schoolbook" w:hAnsi="Century Schoolbook"/>
        </w:rPr>
        <w:t>“manifest disregard of the law”</w:t>
      </w:r>
      <w:r w:rsidR="005D12E3">
        <w:rPr>
          <w:rFonts w:ascii="Century Schoolbook" w:hAnsi="Century Schoolbook"/>
        </w:rPr>
        <w:t xml:space="preserve"> might</w:t>
      </w:r>
      <w:r w:rsidRPr="008F332E" w:rsidR="008F332E">
        <w:rPr>
          <w:rFonts w:ascii="Century Schoolbook" w:hAnsi="Century Schoolbook"/>
        </w:rPr>
        <w:t xml:space="preserve"> be understood as judicial </w:t>
      </w:r>
      <w:r w:rsidR="00F70DB5">
        <w:rPr>
          <w:rFonts w:ascii="Century Schoolbook" w:hAnsi="Century Schoolbook"/>
        </w:rPr>
        <w:t>shorthand</w:t>
      </w:r>
      <w:r w:rsidR="008F332E">
        <w:rPr>
          <w:rFonts w:ascii="Century Schoolbook" w:hAnsi="Century Schoolbook"/>
        </w:rPr>
        <w:t xml:space="preserve"> for</w:t>
      </w:r>
      <w:r w:rsidRPr="008F332E" w:rsidR="008F332E">
        <w:rPr>
          <w:rFonts w:ascii="Century Schoolbook" w:hAnsi="Century Schoolbook"/>
        </w:rPr>
        <w:t xml:space="preserve"> the </w:t>
      </w:r>
      <w:r>
        <w:rPr>
          <w:rFonts w:ascii="Century Schoolbook" w:hAnsi="Century Schoolbook"/>
        </w:rPr>
        <w:t xml:space="preserve">statutory </w:t>
      </w:r>
      <w:r w:rsidR="008F332E">
        <w:rPr>
          <w:rFonts w:ascii="Century Schoolbook" w:hAnsi="Century Schoolbook"/>
        </w:rPr>
        <w:t xml:space="preserve">grounds </w:t>
      </w:r>
      <w:r w:rsidR="00A6798C">
        <w:rPr>
          <w:rFonts w:ascii="Century Schoolbook" w:hAnsi="Century Schoolbook"/>
        </w:rPr>
        <w:t xml:space="preserve">that are </w:t>
      </w:r>
      <w:r w:rsidR="008F332E">
        <w:rPr>
          <w:rFonts w:ascii="Century Schoolbook" w:hAnsi="Century Schoolbook"/>
        </w:rPr>
        <w:t>li</w:t>
      </w:r>
      <w:r w:rsidR="00CE4308">
        <w:rPr>
          <w:rFonts w:ascii="Century Schoolbook" w:hAnsi="Century Schoolbook"/>
        </w:rPr>
        <w:t>sted in Section 10</w:t>
      </w:r>
      <w:r w:rsidRPr="008F332E" w:rsidR="008F332E">
        <w:rPr>
          <w:rFonts w:ascii="Century Schoolbook" w:hAnsi="Century Schoolbook"/>
        </w:rPr>
        <w:t xml:space="preserve">. </w:t>
      </w:r>
      <w:r w:rsidRPr="008F332E" w:rsidR="008F332E">
        <w:rPr>
          <w:rFonts w:ascii="Century Schoolbook" w:hAnsi="Century Schoolbook"/>
          <w:i/>
        </w:rPr>
        <w:t>I</w:t>
      </w:r>
      <w:r w:rsidR="00CE4308">
        <w:rPr>
          <w:rFonts w:ascii="Century Schoolbook" w:hAnsi="Century Schoolbook"/>
          <w:i/>
        </w:rPr>
        <w:t>bi</w:t>
      </w:r>
      <w:r w:rsidRPr="008F332E" w:rsidR="008F332E">
        <w:rPr>
          <w:rFonts w:ascii="Century Schoolbook" w:hAnsi="Century Schoolbook"/>
          <w:i/>
        </w:rPr>
        <w:t>d.</w:t>
      </w:r>
      <w:r w:rsidRPr="008F332E" w:rsidR="008F332E">
        <w:rPr>
          <w:rFonts w:ascii="Century Schoolbook" w:hAnsi="Century Schoolbook"/>
        </w:rPr>
        <w:t xml:space="preserve"> (citing </w:t>
      </w:r>
      <w:r>
        <w:rPr>
          <w:rFonts w:ascii="Century Schoolbook" w:hAnsi="Century Schoolbook"/>
        </w:rPr>
        <w:t>cases</w:t>
      </w:r>
      <w:r w:rsidR="008F332E">
        <w:rPr>
          <w:rFonts w:ascii="Century Schoolbook" w:hAnsi="Century Schoolbook"/>
        </w:rPr>
        <w:t xml:space="preserve"> to show</w:t>
      </w:r>
      <w:r w:rsidRPr="008F332E" w:rsidR="008F332E">
        <w:rPr>
          <w:rFonts w:ascii="Century Schoolbook" w:hAnsi="Century Schoolbook"/>
        </w:rPr>
        <w:t xml:space="preserve"> “manifest disregard</w:t>
      </w:r>
      <w:r>
        <w:rPr>
          <w:rFonts w:ascii="Century Schoolbook" w:hAnsi="Century Schoolbook"/>
        </w:rPr>
        <w:t xml:space="preserve"> of the law</w:t>
      </w:r>
      <w:r w:rsidRPr="008F332E" w:rsidR="008F332E">
        <w:rPr>
          <w:rFonts w:ascii="Century Schoolbook" w:hAnsi="Century Schoolbook"/>
        </w:rPr>
        <w:t xml:space="preserve">” </w:t>
      </w:r>
      <w:r w:rsidR="005D12E3">
        <w:rPr>
          <w:rFonts w:ascii="Century Schoolbook" w:hAnsi="Century Schoolbook"/>
        </w:rPr>
        <w:t>might</w:t>
      </w:r>
      <w:r w:rsidRPr="008F332E" w:rsidR="008F332E">
        <w:rPr>
          <w:rFonts w:ascii="Century Schoolbook" w:hAnsi="Century Schoolbook"/>
        </w:rPr>
        <w:t xml:space="preserve"> refer either to “the § 10 grounds collectively” or to </w:t>
      </w:r>
      <w:r w:rsidR="008F332E">
        <w:rPr>
          <w:rFonts w:ascii="Century Schoolbook" w:hAnsi="Century Schoolbook"/>
        </w:rPr>
        <w:t xml:space="preserve">the specific </w:t>
      </w:r>
      <w:r w:rsidRPr="008F332E" w:rsidR="008F332E">
        <w:rPr>
          <w:rFonts w:ascii="Century Schoolbook" w:hAnsi="Century Schoolbook"/>
        </w:rPr>
        <w:t>provisions</w:t>
      </w:r>
      <w:r w:rsidR="00CE4308">
        <w:rPr>
          <w:rFonts w:ascii="Century Schoolbook" w:hAnsi="Century Schoolbook"/>
        </w:rPr>
        <w:t xml:space="preserve"> that authorize</w:t>
      </w:r>
      <w:r w:rsidRPr="008F332E" w:rsidR="008F332E">
        <w:rPr>
          <w:rFonts w:ascii="Century Schoolbook" w:hAnsi="Century Schoolbook"/>
        </w:rPr>
        <w:t xml:space="preserve"> vacatur where arbitrators are “guilty of misconduct” or “exceeded their powers”).</w:t>
      </w:r>
      <w:r>
        <w:rPr>
          <w:rFonts w:ascii="Century Schoolbook" w:hAnsi="Century Schoolbook"/>
        </w:rPr>
        <w:t xml:space="preserve"> </w:t>
      </w:r>
    </w:p>
    <w:p w:rsidR="00A4590B" w:rsidP="00A4590B">
      <w:pPr>
        <w:spacing w:line="480" w:lineRule="exact"/>
        <w:rPr>
          <w:rFonts w:ascii="Century Schoolbook" w:hAnsi="Century Schoolbook"/>
        </w:rPr>
      </w:pPr>
      <w:r>
        <w:rPr>
          <w:rFonts w:ascii="Century Schoolbook" w:hAnsi="Century Schoolbook"/>
        </w:rPr>
        <w:t>Given this leeway</w:t>
      </w:r>
      <w:r w:rsidR="008F332E">
        <w:rPr>
          <w:rFonts w:ascii="Century Schoolbook" w:hAnsi="Century Schoolbook"/>
        </w:rPr>
        <w:t>, the Second, Fourth,</w:t>
      </w:r>
      <w:r w:rsidR="00CE4308">
        <w:rPr>
          <w:rFonts w:ascii="Century Schoolbook" w:hAnsi="Century Schoolbook"/>
        </w:rPr>
        <w:t xml:space="preserve"> Sixth, and Ninth Circuits have</w:t>
      </w:r>
      <w:r>
        <w:rPr>
          <w:rFonts w:ascii="Century Schoolbook" w:hAnsi="Century Schoolbook"/>
        </w:rPr>
        <w:t xml:space="preserve"> </w:t>
      </w:r>
      <w:r w:rsidR="008F332E">
        <w:rPr>
          <w:rFonts w:ascii="Century Schoolbook" w:hAnsi="Century Schoolbook"/>
        </w:rPr>
        <w:t>held</w:t>
      </w:r>
      <w:r w:rsidR="00CE4308">
        <w:rPr>
          <w:rFonts w:ascii="Century Schoolbook" w:hAnsi="Century Schoolbook"/>
        </w:rPr>
        <w:t>—or at least indicated—</w:t>
      </w:r>
      <w:r w:rsidR="008F332E">
        <w:rPr>
          <w:rFonts w:ascii="Century Schoolbook" w:hAnsi="Century Schoolbook"/>
        </w:rPr>
        <w:t>that arbitrators who manifestly disregard the law have “exceeded their powers” u</w:t>
      </w:r>
      <w:r w:rsidR="00CE4308">
        <w:rPr>
          <w:rFonts w:ascii="Century Schoolbook" w:hAnsi="Century Schoolbook"/>
        </w:rPr>
        <w:t>nder S</w:t>
      </w:r>
      <w:r w:rsidR="0092282B">
        <w:rPr>
          <w:rFonts w:ascii="Century Schoolbook" w:hAnsi="Century Schoolbook"/>
        </w:rPr>
        <w:t>ection 10(a)(4)</w:t>
      </w:r>
      <w:r w:rsidR="00501252">
        <w:rPr>
          <w:rFonts w:ascii="Century Schoolbook" w:hAnsi="Century Schoolbook"/>
        </w:rPr>
        <w:t>.</w:t>
      </w:r>
      <w:r w:rsidRPr="008F332E" w:rsidR="008F332E">
        <w:rPr>
          <w:rFonts w:ascii="Century Schoolbook" w:hAnsi="Century Schoolbook"/>
        </w:rPr>
        <w:t xml:space="preserve"> </w:t>
      </w:r>
      <w:r w:rsidRPr="008F332E" w:rsidR="008F332E">
        <w:rPr>
          <w:rFonts w:ascii="Century Schoolbook" w:hAnsi="Century Schoolbook"/>
          <w:i/>
        </w:rPr>
        <w:t>Schafer v. Multiband Corp.</w:t>
      </w:r>
      <w:r w:rsidRPr="008F332E" w:rsidR="008F332E">
        <w:rPr>
          <w:rFonts w:ascii="Century Schoolbook" w:hAnsi="Century Schoolbook"/>
        </w:rPr>
        <w:t>, 551 F. App’x 814, 819 n.1 (6th Cir. 2014)</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Schafer v. Multiband Corp.</w:instrText>
      </w:r>
      <w:r w:rsidRPr="008F332E" w:rsidR="008F332E">
        <w:rPr>
          <w:rFonts w:ascii="Century Schoolbook" w:hAnsi="Century Schoolbook"/>
        </w:rPr>
        <w:instrText xml:space="preserve">, 551 F. App’x 814 (6th Cir. 2014)" \s "Schafer v. Multiband Corp., 551 F. App’x 814 (6th Cir. 2014)" \c 1 </w:instrText>
      </w:r>
      <w:r>
        <w:rPr>
          <w:rFonts w:ascii="Century Schoolbook" w:hAnsi="Century Schoolbook"/>
        </w:rPr>
        <w:fldChar w:fldCharType="end"/>
      </w:r>
      <w:r w:rsidRPr="008F332E" w:rsidR="008F332E">
        <w:rPr>
          <w:rFonts w:ascii="Century Schoolbook" w:hAnsi="Century Schoolbook"/>
        </w:rPr>
        <w:t>;</w:t>
      </w:r>
      <w:r w:rsidRPr="008F332E" w:rsidR="008F332E">
        <w:rPr>
          <w:rFonts w:ascii="Century Schoolbook" w:hAnsi="Century Schoolbook"/>
          <w:i/>
        </w:rPr>
        <w:t xml:space="preserve"> Wachovia Sec., LLC v. Brand</w:t>
      </w:r>
      <w:r w:rsidRPr="008F332E" w:rsidR="008F332E">
        <w:rPr>
          <w:rFonts w:ascii="Century Schoolbook" w:hAnsi="Century Schoolbook"/>
        </w:rPr>
        <w:t>, 671 F.3d 472, 480 (4th Cir. 2012)</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Wachovia Sec., LLC v. Brand</w:instrText>
      </w:r>
      <w:r w:rsidRPr="008F332E" w:rsidR="008F332E">
        <w:rPr>
          <w:rFonts w:ascii="Century Schoolbook" w:hAnsi="Century Schoolbook"/>
        </w:rPr>
        <w:instrText xml:space="preserve">, 671 F.3d 472 (4th Cir. 2012)" \s "Wachovia Sec., LLC v. Brand, 671 F.3d 472 (4th Cir. 2012)" \c 1 </w:instrText>
      </w:r>
      <w:r>
        <w:rPr>
          <w:rFonts w:ascii="Century Schoolbook" w:hAnsi="Century Schoolbook"/>
        </w:rPr>
        <w:fldChar w:fldCharType="end"/>
      </w:r>
      <w:r w:rsidRPr="008F332E" w:rsidR="008F332E">
        <w:rPr>
          <w:rFonts w:ascii="Century Schoolbook" w:hAnsi="Century Schoolbook"/>
        </w:rPr>
        <w:t>;</w:t>
      </w:r>
      <w:r w:rsidRPr="008F332E" w:rsidR="008F332E">
        <w:rPr>
          <w:rFonts w:ascii="Century Schoolbook" w:hAnsi="Century Schoolbook"/>
          <w:i/>
        </w:rPr>
        <w:t xml:space="preserve"> Comedy Club, Inc. v. Improv W. Assocs.</w:t>
      </w:r>
      <w:r w:rsidRPr="008F332E" w:rsidR="008F332E">
        <w:rPr>
          <w:rFonts w:ascii="Century Schoolbook" w:hAnsi="Century Schoolbook"/>
        </w:rPr>
        <w:t>, 553 F.3d 1277, 1290 (9th Cir. 2009)</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Comedy Club, Inc. v. Improv W. Assocs.</w:instrText>
      </w:r>
      <w:r w:rsidRPr="008F332E" w:rsidR="008F332E">
        <w:rPr>
          <w:rFonts w:ascii="Century Schoolbook" w:hAnsi="Century Schoolbook"/>
        </w:rPr>
        <w:instrText xml:space="preserve">, 553 F.3d 1277 (9th Cir. 2009)" \s "Comedy Club, Inc. v. Improv W. Assocs., 553 F.3d 1277 (9th Cir. 2009)" \c 1 </w:instrText>
      </w:r>
      <w:r>
        <w:rPr>
          <w:rFonts w:ascii="Century Schoolbook" w:hAnsi="Century Schoolbook"/>
        </w:rPr>
        <w:fldChar w:fldCharType="end"/>
      </w:r>
      <w:r w:rsidRPr="008F332E" w:rsidR="008F332E">
        <w:rPr>
          <w:rFonts w:ascii="Century Schoolbook" w:hAnsi="Century Schoolbook"/>
        </w:rPr>
        <w:t xml:space="preserve">; </w:t>
      </w:r>
      <w:r w:rsidRPr="008F332E" w:rsidR="008F332E">
        <w:rPr>
          <w:rFonts w:ascii="Century Schoolbook" w:hAnsi="Century Schoolbook"/>
          <w:i/>
        </w:rPr>
        <w:t>Stolt-Nielsen SA v. AnimalFeeds Intern. Corp.</w:t>
      </w:r>
      <w:r w:rsidRPr="008F332E" w:rsidR="008F332E">
        <w:rPr>
          <w:rFonts w:ascii="Century Schoolbook" w:hAnsi="Century Schoolbook"/>
        </w:rPr>
        <w:t>, 548 F.3d 85, 95 (2d Cir. 2008)</w:t>
      </w:r>
      <w:r>
        <w:rPr>
          <w:rFonts w:ascii="Century Schoolbook" w:hAnsi="Century Schoolbook"/>
        </w:rPr>
        <w:fldChar w:fldCharType="begin"/>
      </w:r>
      <w:r w:rsidRPr="008F332E" w:rsidR="008F332E">
        <w:rPr>
          <w:rFonts w:ascii="Century Schoolbook" w:hAnsi="Century Schoolbook"/>
        </w:rPr>
        <w:instrText xml:space="preserve"> TA \l "</w:instrText>
      </w:r>
      <w:r w:rsidRPr="008F332E" w:rsidR="008F332E">
        <w:rPr>
          <w:rFonts w:ascii="Century Schoolbook" w:hAnsi="Century Schoolbook"/>
          <w:i/>
        </w:rPr>
        <w:instrText>Stolt-Nielsen SA v. AnimalFeeds Intern. Corp.</w:instrText>
      </w:r>
      <w:r w:rsidRPr="008F332E" w:rsidR="008F332E">
        <w:rPr>
          <w:rFonts w:ascii="Century Schoolbook" w:hAnsi="Century Schoolbook"/>
        </w:rPr>
        <w:instrText xml:space="preserve">, 548 F.3d 85 (2d Cir. 2008)" \s "Stolt-Nielsen SA v. AnimalFeeds Intern. Corp., 548 F.3d 85 (2d Cir. 2008)" \c 1 </w:instrText>
      </w:r>
      <w:r>
        <w:rPr>
          <w:rFonts w:ascii="Century Schoolbook" w:hAnsi="Century Schoolbook"/>
        </w:rPr>
        <w:fldChar w:fldCharType="end"/>
      </w:r>
      <w:r w:rsidRPr="008F332E" w:rsidR="008F332E">
        <w:rPr>
          <w:rFonts w:ascii="Century Schoolbook" w:hAnsi="Century Schoolbook"/>
        </w:rPr>
        <w:t xml:space="preserve">, </w:t>
      </w:r>
      <w:r w:rsidRPr="006F5C67" w:rsidR="008F332E">
        <w:rPr>
          <w:rFonts w:ascii="Century Schoolbook" w:hAnsi="Century Schoolbook"/>
          <w:i/>
        </w:rPr>
        <w:t>overruled on other grounds</w:t>
      </w:r>
      <w:r w:rsidR="006F5C67">
        <w:rPr>
          <w:rFonts w:ascii="Century Schoolbook" w:hAnsi="Century Schoolbook"/>
        </w:rPr>
        <w:t>,</w:t>
      </w:r>
      <w:r w:rsidRPr="008F332E" w:rsidR="008F332E">
        <w:rPr>
          <w:rFonts w:ascii="Century Schoolbook" w:hAnsi="Century Schoolbook"/>
        </w:rPr>
        <w:t xml:space="preserve"> 559 U.S. 662 (2010).</w:t>
      </w:r>
      <w:r>
        <w:rPr>
          <w:rFonts w:ascii="Century Schoolbook" w:hAnsi="Century Schoolbook"/>
        </w:rPr>
        <w:t xml:space="preserve"> </w:t>
      </w:r>
      <w:r w:rsidR="00A6798C">
        <w:rPr>
          <w:rFonts w:ascii="Century Schoolbook" w:hAnsi="Century Schoolbook"/>
        </w:rPr>
        <w:t>And</w:t>
      </w:r>
      <w:r w:rsidR="008F332E">
        <w:rPr>
          <w:rFonts w:ascii="Century Schoolbook" w:hAnsi="Century Schoolbook"/>
        </w:rPr>
        <w:t xml:space="preserve"> the Second Circuit </w:t>
      </w:r>
      <w:r>
        <w:rPr>
          <w:rFonts w:ascii="Century Schoolbook" w:hAnsi="Century Schoolbook"/>
        </w:rPr>
        <w:t xml:space="preserve">explicitly </w:t>
      </w:r>
      <w:r w:rsidR="008F332E">
        <w:rPr>
          <w:rFonts w:ascii="Century Schoolbook" w:hAnsi="Century Schoolbook"/>
        </w:rPr>
        <w:t xml:space="preserve">“reconceptualized [‘manifest disregard of the law’] as a judicial gloss on </w:t>
      </w:r>
      <w:r w:rsidR="008F332E">
        <w:rPr>
          <w:rFonts w:ascii="Century Schoolbook" w:hAnsi="Century Schoolbook"/>
        </w:rPr>
        <w:t>the specific grounds for vacatur enu</w:t>
      </w:r>
      <w:r w:rsidR="003032F6">
        <w:rPr>
          <w:rFonts w:ascii="Century Schoolbook" w:hAnsi="Century Schoolbook"/>
        </w:rPr>
        <w:t>merated in section 10</w:t>
      </w:r>
      <w:r w:rsidR="008F332E">
        <w:rPr>
          <w:rFonts w:ascii="Century Schoolbook" w:hAnsi="Century Schoolbook"/>
        </w:rPr>
        <w:t xml:space="preserve">.” </w:t>
      </w:r>
      <w:r w:rsidR="008F332E">
        <w:rPr>
          <w:rFonts w:ascii="Century Schoolbook" w:hAnsi="Century Schoolbook"/>
          <w:i/>
        </w:rPr>
        <w:t>Stolt-Nielsen</w:t>
      </w:r>
      <w:r>
        <w:rPr>
          <w:rFonts w:ascii="Century Schoolbook" w:hAnsi="Century Schoolbook"/>
        </w:rPr>
        <w:t xml:space="preserve">, 548 F.3d at 94–95. </w:t>
      </w:r>
    </w:p>
    <w:p w:rsidR="008F332E" w:rsidP="00A4590B">
      <w:pPr>
        <w:spacing w:line="480" w:lineRule="exact"/>
        <w:rPr>
          <w:rFonts w:ascii="Century Schoolbook" w:hAnsi="Century Schoolbook"/>
        </w:rPr>
      </w:pPr>
      <w:r>
        <w:rPr>
          <w:rFonts w:ascii="Century Schoolbook" w:hAnsi="Century Schoolbook"/>
        </w:rPr>
        <w:t>Notably, w</w:t>
      </w:r>
      <w:r>
        <w:rPr>
          <w:rFonts w:ascii="Century Schoolbook" w:hAnsi="Century Schoolbook"/>
        </w:rPr>
        <w:t xml:space="preserve">hen </w:t>
      </w:r>
      <w:r>
        <w:rPr>
          <w:rFonts w:ascii="Century Schoolbook" w:hAnsi="Century Schoolbook"/>
          <w:i/>
        </w:rPr>
        <w:t>Stolt-Nielsen</w:t>
      </w:r>
      <w:r>
        <w:rPr>
          <w:rFonts w:ascii="Century Schoolbook" w:hAnsi="Century Schoolbook"/>
        </w:rPr>
        <w:t xml:space="preserve"> presented the Supreme Court with an opportunity to </w:t>
      </w:r>
      <w:r w:rsidR="003032F6">
        <w:rPr>
          <w:rFonts w:ascii="Century Schoolbook" w:hAnsi="Century Schoolbook"/>
        </w:rPr>
        <w:t>reject</w:t>
      </w:r>
      <w:r>
        <w:rPr>
          <w:rFonts w:ascii="Century Schoolbook" w:hAnsi="Century Schoolbook"/>
        </w:rPr>
        <w:t xml:space="preserve"> the Second Circuit’s </w:t>
      </w:r>
      <w:r>
        <w:rPr>
          <w:rFonts w:ascii="Century Schoolbook" w:hAnsi="Century Schoolbook"/>
        </w:rPr>
        <w:t>reconceptualization</w:t>
      </w:r>
      <w:r>
        <w:rPr>
          <w:rFonts w:ascii="Century Schoolbook" w:hAnsi="Century Schoolbook"/>
        </w:rPr>
        <w:t xml:space="preserve"> of “manifest disregard”</w:t>
      </w:r>
      <w:r w:rsidR="003032F6">
        <w:rPr>
          <w:rFonts w:ascii="Century Schoolbook" w:hAnsi="Century Schoolbook"/>
        </w:rPr>
        <w:t xml:space="preserve"> as a </w:t>
      </w:r>
      <w:r w:rsidR="00A6798C">
        <w:rPr>
          <w:rFonts w:ascii="Century Schoolbook" w:hAnsi="Century Schoolbook"/>
        </w:rPr>
        <w:t>“judicial gloss” on Section 10</w:t>
      </w:r>
      <w:r w:rsidR="003032F6">
        <w:rPr>
          <w:rFonts w:ascii="Century Schoolbook" w:hAnsi="Century Schoolbook"/>
        </w:rPr>
        <w:t>,</w:t>
      </w:r>
      <w:r>
        <w:rPr>
          <w:rFonts w:ascii="Century Schoolbook" w:hAnsi="Century Schoolbook"/>
        </w:rPr>
        <w:t xml:space="preserve"> the Supreme Court instead </w:t>
      </w:r>
      <w:r w:rsidR="00075FF9">
        <w:rPr>
          <w:rFonts w:ascii="Century Schoolbook" w:hAnsi="Century Schoolbook"/>
        </w:rPr>
        <w:t>reversed on other grounds</w:t>
      </w:r>
      <w:r>
        <w:rPr>
          <w:rFonts w:ascii="Century Schoolbook" w:hAnsi="Century Schoolbook"/>
        </w:rPr>
        <w:t>—and indicated that</w:t>
      </w:r>
      <w:r>
        <w:rPr>
          <w:rFonts w:ascii="Century Schoolbook" w:hAnsi="Century Schoolbook"/>
        </w:rPr>
        <w:t xml:space="preserve"> “manifest disregard” </w:t>
      </w:r>
      <w:r w:rsidR="005D12E3">
        <w:rPr>
          <w:rFonts w:ascii="Century Schoolbook" w:hAnsi="Century Schoolbook"/>
        </w:rPr>
        <w:t xml:space="preserve">might </w:t>
      </w:r>
      <w:r w:rsidR="00075FF9">
        <w:rPr>
          <w:rFonts w:ascii="Century Schoolbook" w:hAnsi="Century Schoolbook"/>
        </w:rPr>
        <w:t xml:space="preserve">indeed </w:t>
      </w:r>
      <w:r w:rsidR="005D12E3">
        <w:rPr>
          <w:rFonts w:ascii="Century Schoolbook" w:hAnsi="Century Schoolbook"/>
        </w:rPr>
        <w:t>remain</w:t>
      </w:r>
      <w:r w:rsidR="00501252">
        <w:rPr>
          <w:rFonts w:ascii="Century Schoolbook" w:hAnsi="Century Schoolbook"/>
        </w:rPr>
        <w:t xml:space="preserve"> available</w:t>
      </w:r>
      <w:r w:rsidR="00A6798C">
        <w:rPr>
          <w:rFonts w:ascii="Century Schoolbook" w:hAnsi="Century Schoolbook"/>
        </w:rPr>
        <w:t xml:space="preserve"> as a statutory ground for vacatur</w:t>
      </w:r>
      <w:r w:rsidR="00501252">
        <w:rPr>
          <w:rFonts w:ascii="Century Schoolbook" w:hAnsi="Century Schoolbook"/>
        </w:rPr>
        <w:t xml:space="preserve">. </w:t>
      </w:r>
      <w:r w:rsidRPr="008F332E">
        <w:rPr>
          <w:rFonts w:ascii="Century Schoolbook" w:hAnsi="Century Schoolbook"/>
          <w:i/>
        </w:rPr>
        <w:t>Stolt-Nielsen S.A. v. AnimalFeeds Intern. Corp.</w:t>
      </w:r>
      <w:r w:rsidRPr="008F332E">
        <w:rPr>
          <w:rFonts w:ascii="Century Schoolbook" w:hAnsi="Century Schoolbook"/>
        </w:rPr>
        <w:t>, 559 U.S. 662, 669–670, 672 n.3 (2010)</w:t>
      </w:r>
      <w:r>
        <w:rPr>
          <w:rFonts w:ascii="Century Schoolbook" w:hAnsi="Century Schoolbook"/>
        </w:rPr>
        <w:fldChar w:fldCharType="begin"/>
      </w:r>
      <w:r w:rsidRPr="008F332E">
        <w:rPr>
          <w:rFonts w:ascii="Century Schoolbook" w:hAnsi="Century Schoolbook"/>
        </w:rPr>
        <w:instrText xml:space="preserve"> TA \l "</w:instrText>
      </w:r>
      <w:r w:rsidRPr="008F332E">
        <w:rPr>
          <w:rFonts w:ascii="Century Schoolbook" w:hAnsi="Century Schoolbook"/>
          <w:i/>
        </w:rPr>
        <w:instrText>Stolt-Nielsen S.A. v. AnimalFeeds Intern. Corp.</w:instrText>
      </w:r>
      <w:r w:rsidRPr="008F332E">
        <w:rPr>
          <w:rFonts w:ascii="Century Schoolbook" w:hAnsi="Century Schoolbook"/>
        </w:rPr>
        <w:instrText xml:space="preserve">, 559 U.S. 662 (2010)" \s "Stolt-Nielsen S.A. v. AnimalFeeds Intern. Corp., 559 U.S. 662 (2010)" \c 1 </w:instrText>
      </w:r>
      <w:r>
        <w:rPr>
          <w:rFonts w:ascii="Century Schoolbook" w:hAnsi="Century Schoolbook"/>
        </w:rPr>
        <w:fldChar w:fldCharType="end"/>
      </w:r>
      <w:r w:rsidRPr="008F332E">
        <w:rPr>
          <w:rFonts w:ascii="Century Schoolbook" w:hAnsi="Century Schoolbook"/>
        </w:rPr>
        <w:t xml:space="preserve"> (assuming, without deciding, that “manifest disregard” still “applies”)</w:t>
      </w:r>
      <w:r>
        <w:rPr>
          <w:rFonts w:ascii="Century Schoolbook" w:hAnsi="Century Schoolbook"/>
        </w:rPr>
        <w:t>.</w:t>
      </w:r>
    </w:p>
    <w:p w:rsidR="00D01E5C" w:rsidRPr="00602430" w:rsidP="00D01E5C">
      <w:pPr>
        <w:spacing w:line="480" w:lineRule="exact"/>
        <w:rPr>
          <w:rFonts w:ascii="Century Schoolbook" w:hAnsi="Century Schoolbook"/>
        </w:rPr>
      </w:pPr>
      <w:r>
        <w:rPr>
          <w:rFonts w:ascii="Century Schoolbook" w:hAnsi="Century Schoolbook"/>
        </w:rPr>
        <w:t>Given the above</w:t>
      </w:r>
      <w:r w:rsidR="00075FF9">
        <w:rPr>
          <w:rFonts w:ascii="Century Schoolbook" w:hAnsi="Century Schoolbook"/>
        </w:rPr>
        <w:t xml:space="preserve">, it is clear that </w:t>
      </w:r>
      <w:r w:rsidR="002B7A54">
        <w:rPr>
          <w:rFonts w:ascii="Century Schoolbook" w:hAnsi="Century Schoolbook"/>
        </w:rPr>
        <w:t>cases from the Second, Fourth, Sixth, and Ninth C</w:t>
      </w:r>
      <w:r>
        <w:rPr>
          <w:rFonts w:ascii="Century Schoolbook" w:hAnsi="Century Schoolbook"/>
        </w:rPr>
        <w:t xml:space="preserve">ircuits, </w:t>
      </w:r>
      <w:r w:rsidR="008F332E">
        <w:rPr>
          <w:rFonts w:ascii="Century Schoolbook" w:hAnsi="Century Schoolbook"/>
        </w:rPr>
        <w:t xml:space="preserve">combined with the Supreme Court’s </w:t>
      </w:r>
      <w:r w:rsidR="00501252">
        <w:rPr>
          <w:rFonts w:ascii="Century Schoolbook" w:hAnsi="Century Schoolbook"/>
        </w:rPr>
        <w:t>receptiveness</w:t>
      </w:r>
      <w:r>
        <w:rPr>
          <w:rFonts w:ascii="Century Schoolbook" w:hAnsi="Century Schoolbook"/>
        </w:rPr>
        <w:t xml:space="preserve"> </w:t>
      </w:r>
      <w:r w:rsidR="008F332E">
        <w:rPr>
          <w:rFonts w:ascii="Century Schoolbook" w:hAnsi="Century Schoolbook"/>
        </w:rPr>
        <w:t xml:space="preserve">in </w:t>
      </w:r>
      <w:r w:rsidR="008F332E">
        <w:rPr>
          <w:rFonts w:ascii="Century Schoolbook" w:hAnsi="Century Schoolbook"/>
          <w:i/>
        </w:rPr>
        <w:t xml:space="preserve">Hall Street </w:t>
      </w:r>
      <w:r w:rsidR="008F332E">
        <w:rPr>
          <w:rFonts w:ascii="Century Schoolbook" w:hAnsi="Century Schoolbook"/>
        </w:rPr>
        <w:t xml:space="preserve">and </w:t>
      </w:r>
      <w:r w:rsidR="008F332E">
        <w:rPr>
          <w:rFonts w:ascii="Century Schoolbook" w:hAnsi="Century Schoolbook"/>
          <w:i/>
        </w:rPr>
        <w:t>Stolt-Nielsen</w:t>
      </w:r>
      <w:r>
        <w:rPr>
          <w:rFonts w:ascii="Century Schoolbook" w:hAnsi="Century Schoolbook"/>
        </w:rPr>
        <w:t xml:space="preserve">, </w:t>
      </w:r>
      <w:r w:rsidR="00602430">
        <w:rPr>
          <w:rFonts w:ascii="Century Schoolbook" w:hAnsi="Century Schoolbook"/>
        </w:rPr>
        <w:t>can</w:t>
      </w:r>
      <w:r>
        <w:rPr>
          <w:rFonts w:ascii="Century Schoolbook" w:hAnsi="Century Schoolbook"/>
        </w:rPr>
        <w:t xml:space="preserve"> </w:t>
      </w:r>
      <w:r w:rsidR="008F332E">
        <w:rPr>
          <w:rFonts w:ascii="Century Schoolbook" w:hAnsi="Century Schoolbook"/>
        </w:rPr>
        <w:t xml:space="preserve">provide </w:t>
      </w:r>
      <w:r>
        <w:rPr>
          <w:rFonts w:ascii="Century Schoolbook" w:hAnsi="Century Schoolbook"/>
        </w:rPr>
        <w:t xml:space="preserve">ample </w:t>
      </w:r>
      <w:r w:rsidR="008F332E">
        <w:rPr>
          <w:rFonts w:ascii="Century Schoolbook" w:hAnsi="Century Schoolbook"/>
        </w:rPr>
        <w:t xml:space="preserve">support for arguing </w:t>
      </w:r>
      <w:r w:rsidR="00501252">
        <w:rPr>
          <w:rFonts w:ascii="Century Schoolbook" w:hAnsi="Century Schoolbook"/>
        </w:rPr>
        <w:t xml:space="preserve">that </w:t>
      </w:r>
      <w:r w:rsidR="008F332E">
        <w:rPr>
          <w:rFonts w:ascii="Century Schoolbook" w:hAnsi="Century Schoolbook"/>
        </w:rPr>
        <w:t>“manifest disregard” remain</w:t>
      </w:r>
      <w:r w:rsidR="00A6798C">
        <w:rPr>
          <w:rFonts w:ascii="Century Schoolbook" w:hAnsi="Century Schoolbook"/>
        </w:rPr>
        <w:t>s</w:t>
      </w:r>
      <w:r w:rsidR="008F332E">
        <w:rPr>
          <w:rFonts w:ascii="Century Schoolbook" w:hAnsi="Century Schoolbook"/>
        </w:rPr>
        <w:t xml:space="preserve"> available</w:t>
      </w:r>
      <w:r w:rsidR="00602430">
        <w:rPr>
          <w:rFonts w:ascii="Century Schoolbook" w:hAnsi="Century Schoolbook"/>
        </w:rPr>
        <w:t xml:space="preserve"> as a ground for vacating an </w:t>
      </w:r>
      <w:r w:rsidR="00A6798C">
        <w:rPr>
          <w:rFonts w:ascii="Century Schoolbook" w:hAnsi="Century Schoolbook"/>
        </w:rPr>
        <w:t xml:space="preserve">adverse </w:t>
      </w:r>
      <w:r w:rsidR="00602430">
        <w:rPr>
          <w:rFonts w:ascii="Century Schoolbook" w:hAnsi="Century Schoolbook"/>
        </w:rPr>
        <w:t>arbitration award</w:t>
      </w:r>
      <w:r>
        <w:rPr>
          <w:rFonts w:ascii="Century Schoolbook" w:hAnsi="Century Schoolbook"/>
        </w:rPr>
        <w:t>—</w:t>
      </w:r>
      <w:r w:rsidR="00602430">
        <w:rPr>
          <w:rFonts w:ascii="Century Schoolbook" w:hAnsi="Century Schoolbook"/>
        </w:rPr>
        <w:t>especial</w:t>
      </w:r>
      <w:r>
        <w:rPr>
          <w:rFonts w:ascii="Century Schoolbook" w:hAnsi="Century Schoolbook"/>
        </w:rPr>
        <w:t xml:space="preserve">ly </w:t>
      </w:r>
      <w:r w:rsidR="008F332E">
        <w:rPr>
          <w:rFonts w:ascii="Century Schoolbook" w:hAnsi="Century Schoolbook"/>
        </w:rPr>
        <w:t>in the First, Third</w:t>
      </w:r>
      <w:r>
        <w:rPr>
          <w:rFonts w:ascii="Century Schoolbook" w:hAnsi="Century Schoolbook"/>
        </w:rPr>
        <w:t>, and Tenth Circuits, where the issue remains unresolved</w:t>
      </w:r>
      <w:r w:rsidR="008F332E">
        <w:rPr>
          <w:rFonts w:ascii="Century Schoolbook" w:hAnsi="Century Schoolbook"/>
        </w:rPr>
        <w:t xml:space="preserve">. </w:t>
      </w:r>
      <w:r w:rsidRPr="002B7A54" w:rsidR="00EB6F92">
        <w:rPr>
          <w:rFonts w:ascii="Century Schoolbook" w:hAnsi="Century Schoolbook"/>
        </w:rPr>
        <w:t>See</w:t>
      </w:r>
      <w:r w:rsidR="006F3A17">
        <w:rPr>
          <w:rFonts w:ascii="Century Schoolbook" w:hAnsi="Century Schoolbook"/>
          <w:i/>
        </w:rPr>
        <w:t xml:space="preserve"> </w:t>
      </w:r>
      <w:r w:rsidR="002B7A54">
        <w:rPr>
          <w:rFonts w:ascii="Century Schoolbook" w:hAnsi="Century Schoolbook"/>
          <w:i/>
        </w:rPr>
        <w:t>Sabre GLBL, Inc. v. Shan</w:t>
      </w:r>
      <w:r w:rsidR="002B7A54">
        <w:rPr>
          <w:rFonts w:ascii="Century Schoolbook" w:hAnsi="Century Schoolbook"/>
        </w:rPr>
        <w:t xml:space="preserve">, --- F. App’x ---, 2019 WL 2880999, at *3 (3d Cir. July 3, 2019) </w:t>
      </w:r>
      <w:r w:rsidRPr="008F332E" w:rsidR="008F332E">
        <w:rPr>
          <w:rFonts w:ascii="Century Schoolbook" w:hAnsi="Century Schoolbook"/>
        </w:rPr>
        <w:t>(“</w:t>
      </w:r>
      <w:r w:rsidR="002B7A54">
        <w:rPr>
          <w:rFonts w:ascii="Century Schoolbook" w:hAnsi="Century Schoolbook"/>
        </w:rPr>
        <w:t>We again find it unnecessary to resolve this issue.</w:t>
      </w:r>
      <w:r w:rsidRPr="008F332E" w:rsidR="008F332E">
        <w:rPr>
          <w:rFonts w:ascii="Century Schoolbook" w:hAnsi="Century Schoolbook"/>
        </w:rPr>
        <w:t>”);</w:t>
      </w:r>
      <w:r w:rsidRPr="008F332E" w:rsidR="008F332E">
        <w:rPr>
          <w:rFonts w:ascii="Century Schoolbook" w:hAnsi="Century Schoolbook"/>
          <w:i/>
        </w:rPr>
        <w:t xml:space="preserve"> </w:t>
      </w:r>
      <w:r>
        <w:rPr>
          <w:rFonts w:ascii="Century Schoolbook" w:hAnsi="Century Schoolbook"/>
          <w:i/>
        </w:rPr>
        <w:t>THI of New Mexico at Vida Encantada, LLC v. Lovato</w:t>
      </w:r>
      <w:r>
        <w:rPr>
          <w:rFonts w:ascii="Century Schoolbook" w:hAnsi="Century Schoolbook"/>
        </w:rPr>
        <w:t xml:space="preserve">, 864 F.3d 1080, 1088 (10th Cir. 2017) (“We assume (without deciding) the viability of [‘manifest disregard’].”); </w:t>
      </w:r>
      <w:r w:rsidR="002B7A54">
        <w:rPr>
          <w:rFonts w:ascii="Century Schoolbook" w:hAnsi="Century Schoolbook"/>
          <w:i/>
        </w:rPr>
        <w:t>Ortiz-Espinoza v. BBVA Sec. of Puerto Rico, Inc.</w:t>
      </w:r>
      <w:r w:rsidR="002B7A54">
        <w:rPr>
          <w:rFonts w:ascii="Century Schoolbook" w:hAnsi="Century Schoolbook"/>
        </w:rPr>
        <w:t>, 852 F.3d 36, 46 (1st Cir. 2017) (“We need not and do not decide now whether manifest disregard remains as an available basis for vacatur.”)</w:t>
      </w:r>
      <w:r w:rsidRPr="008F332E" w:rsidR="008F332E">
        <w:rPr>
          <w:rFonts w:ascii="Century Schoolbook" w:hAnsi="Century Schoolbook"/>
        </w:rPr>
        <w:t>.</w:t>
      </w:r>
      <w:r>
        <w:rPr>
          <w:rFonts w:ascii="Century Schoolbook" w:hAnsi="Century Schoolbook"/>
        </w:rPr>
        <w:t xml:space="preserve"> </w:t>
      </w:r>
      <w:r w:rsidR="00602430">
        <w:rPr>
          <w:rFonts w:ascii="Century Schoolbook" w:hAnsi="Century Schoolbook"/>
        </w:rPr>
        <w:t xml:space="preserve">And it appears the Fifth Circuit </w:t>
      </w:r>
      <w:r w:rsidR="00B73900">
        <w:rPr>
          <w:rFonts w:ascii="Century Schoolbook" w:hAnsi="Century Schoolbook"/>
        </w:rPr>
        <w:t>still</w:t>
      </w:r>
      <w:r w:rsidR="00602430">
        <w:rPr>
          <w:rFonts w:ascii="Century Schoolbook" w:hAnsi="Century Schoolbook"/>
        </w:rPr>
        <w:t xml:space="preserve"> remains open to reconceptualizing “manifest disregard” as a statutory ground for vacatur</w:t>
      </w:r>
      <w:r w:rsidR="00B73900">
        <w:rPr>
          <w:rFonts w:ascii="Century Schoolbook" w:hAnsi="Century Schoolbook"/>
        </w:rPr>
        <w:t>, too</w:t>
      </w:r>
      <w:r w:rsidR="00602430">
        <w:rPr>
          <w:rFonts w:ascii="Century Schoolbook" w:hAnsi="Century Schoolbook"/>
        </w:rPr>
        <w:t xml:space="preserve">. See </w:t>
      </w:r>
      <w:r w:rsidR="00602430">
        <w:rPr>
          <w:rFonts w:ascii="Century Schoolbook" w:hAnsi="Century Schoolbook"/>
          <w:i/>
        </w:rPr>
        <w:t>McKool Smith, P.C. v. Curtis Internat’l, Ltd.</w:t>
      </w:r>
      <w:r w:rsidR="00602430">
        <w:rPr>
          <w:rFonts w:ascii="Century Schoolbook" w:hAnsi="Century Schoolbook"/>
        </w:rPr>
        <w:t>, 650 F. App’x 208, 213 (5th Cir. 2016).</w:t>
      </w:r>
    </w:p>
    <w:p w:rsidR="008F332E" w:rsidP="00A6798C">
      <w:pPr>
        <w:spacing w:line="480" w:lineRule="exact"/>
        <w:rPr>
          <w:rFonts w:ascii="Century Schoolbook" w:hAnsi="Century Schoolbook"/>
        </w:rPr>
      </w:pPr>
      <w:r>
        <w:rPr>
          <w:rFonts w:ascii="Century Schoolbook" w:hAnsi="Century Schoolbook"/>
        </w:rPr>
        <w:t>In fact, a</w:t>
      </w:r>
      <w:r w:rsidR="00D01E5C">
        <w:rPr>
          <w:rFonts w:ascii="Century Schoolbook" w:hAnsi="Century Schoolbook"/>
        </w:rPr>
        <w:t xml:space="preserve">n enterprising </w:t>
      </w:r>
      <w:r w:rsidR="00602430">
        <w:rPr>
          <w:rFonts w:ascii="Century Schoolbook" w:hAnsi="Century Schoolbook"/>
        </w:rPr>
        <w:t xml:space="preserve">party (with an enterprising </w:t>
      </w:r>
      <w:r w:rsidR="00D01E5C">
        <w:rPr>
          <w:rFonts w:ascii="Century Schoolbook" w:hAnsi="Century Schoolbook"/>
        </w:rPr>
        <w:t>appellate lawyer</w:t>
      </w:r>
      <w:r w:rsidR="00602430">
        <w:rPr>
          <w:rFonts w:ascii="Century Schoolbook" w:hAnsi="Century Schoolbook"/>
        </w:rPr>
        <w:t>)</w:t>
      </w:r>
      <w:r w:rsidR="00D01E5C">
        <w:rPr>
          <w:rFonts w:ascii="Century Schoolbook" w:hAnsi="Century Schoolbook"/>
        </w:rPr>
        <w:t xml:space="preserve"> might even argue that “manifest disregard”</w:t>
      </w:r>
      <w:r w:rsidR="00602430">
        <w:rPr>
          <w:rFonts w:ascii="Century Schoolbook" w:hAnsi="Century Schoolbook"/>
        </w:rPr>
        <w:t xml:space="preserve"> should</w:t>
      </w:r>
      <w:r w:rsidR="00D01E5C">
        <w:rPr>
          <w:rFonts w:ascii="Century Schoolbook" w:hAnsi="Century Schoolbook"/>
        </w:rPr>
        <w:t xml:space="preserve"> be</w:t>
      </w:r>
      <w:r w:rsidR="00602430">
        <w:rPr>
          <w:rFonts w:ascii="Century Schoolbook" w:hAnsi="Century Schoolbook"/>
        </w:rPr>
        <w:t xml:space="preserve"> reconceptualized </w:t>
      </w:r>
      <w:r>
        <w:rPr>
          <w:rFonts w:ascii="Century Schoolbook" w:hAnsi="Century Schoolbook"/>
        </w:rPr>
        <w:t>as a statutory ground for vacatur</w:t>
      </w:r>
      <w:r w:rsidR="00D01E5C">
        <w:rPr>
          <w:rFonts w:ascii="Century Schoolbook" w:hAnsi="Century Schoolbook"/>
        </w:rPr>
        <w:t xml:space="preserve"> </w:t>
      </w:r>
      <w:r>
        <w:rPr>
          <w:rFonts w:ascii="Century Schoolbook" w:hAnsi="Century Schoolbook"/>
        </w:rPr>
        <w:t xml:space="preserve">and resurrected </w:t>
      </w:r>
      <w:r w:rsidR="00D01E5C">
        <w:rPr>
          <w:rFonts w:ascii="Century Schoolbook" w:hAnsi="Century Schoolbook"/>
        </w:rPr>
        <w:t>in</w:t>
      </w:r>
      <w:r w:rsidR="00602430">
        <w:rPr>
          <w:rFonts w:ascii="Century Schoolbook" w:hAnsi="Century Schoolbook"/>
        </w:rPr>
        <w:t xml:space="preserve"> the Seventh, Eighth, and Eleventh Circuits</w:t>
      </w:r>
      <w:r w:rsidR="005D12E3">
        <w:rPr>
          <w:rFonts w:ascii="Century Schoolbook" w:hAnsi="Century Schoolbook"/>
        </w:rPr>
        <w:t>,</w:t>
      </w:r>
      <w:r w:rsidR="002A0E6A">
        <w:rPr>
          <w:rFonts w:ascii="Century Schoolbook" w:hAnsi="Century Schoolbook"/>
        </w:rPr>
        <w:t xml:space="preserve"> </w:t>
      </w:r>
      <w:r w:rsidR="00D01E5C">
        <w:rPr>
          <w:rFonts w:ascii="Century Schoolbook" w:hAnsi="Century Schoolbook"/>
        </w:rPr>
        <w:t>given that those circuits</w:t>
      </w:r>
      <w:r>
        <w:rPr>
          <w:rFonts w:ascii="Century Schoolbook" w:hAnsi="Century Schoolbook"/>
        </w:rPr>
        <w:t xml:space="preserve"> </w:t>
      </w:r>
      <w:r w:rsidR="00D01E5C">
        <w:rPr>
          <w:rFonts w:ascii="Century Schoolbook" w:hAnsi="Century Schoolbook"/>
        </w:rPr>
        <w:t xml:space="preserve">abandoned “manifest disregard” </w:t>
      </w:r>
      <w:r w:rsidR="00A6798C">
        <w:rPr>
          <w:rFonts w:ascii="Century Schoolbook" w:hAnsi="Century Schoolbook"/>
        </w:rPr>
        <w:t xml:space="preserve">without much analysis </w:t>
      </w:r>
      <w:r w:rsidR="00D01E5C">
        <w:rPr>
          <w:rFonts w:ascii="Century Schoolbook" w:hAnsi="Century Schoolbook"/>
        </w:rPr>
        <w:t xml:space="preserve">after </w:t>
      </w:r>
      <w:r w:rsidR="00D01E5C">
        <w:rPr>
          <w:rFonts w:ascii="Century Schoolbook" w:hAnsi="Century Schoolbook"/>
          <w:i/>
        </w:rPr>
        <w:t>Hall Street</w:t>
      </w:r>
      <w:r w:rsidR="00D01E5C">
        <w:rPr>
          <w:rFonts w:ascii="Century Schoolbook" w:hAnsi="Century Schoolbook"/>
        </w:rPr>
        <w:t>—</w:t>
      </w:r>
      <w:r w:rsidR="005D12E3">
        <w:rPr>
          <w:rFonts w:ascii="Century Schoolbook" w:hAnsi="Century Schoolbook"/>
        </w:rPr>
        <w:t xml:space="preserve">and without considering </w:t>
      </w:r>
      <w:r w:rsidR="005D12E3">
        <w:rPr>
          <w:rFonts w:ascii="Century Schoolbook" w:hAnsi="Century Schoolbook"/>
          <w:i/>
        </w:rPr>
        <w:t>Hall Street</w:t>
      </w:r>
      <w:r w:rsidR="005D12E3">
        <w:rPr>
          <w:rFonts w:ascii="Century Schoolbook" w:hAnsi="Century Schoolbook"/>
        </w:rPr>
        <w:t xml:space="preserve">’s </w:t>
      </w:r>
      <w:r w:rsidR="002A0E6A">
        <w:rPr>
          <w:rFonts w:ascii="Century Schoolbook" w:hAnsi="Century Schoolbook"/>
        </w:rPr>
        <w:t xml:space="preserve">own </w:t>
      </w:r>
      <w:r w:rsidR="005D12E3">
        <w:rPr>
          <w:rFonts w:ascii="Century Schoolbook" w:hAnsi="Century Schoolbook"/>
        </w:rPr>
        <w:t>suggestion that “manifest disregard” might remain viable</w:t>
      </w:r>
      <w:r>
        <w:rPr>
          <w:rFonts w:ascii="Century Schoolbook" w:hAnsi="Century Schoolbook"/>
        </w:rPr>
        <w:t xml:space="preserve">. </w:t>
      </w:r>
      <w:r w:rsidRPr="00D01E5C" w:rsidR="00EB6F92">
        <w:rPr>
          <w:rFonts w:ascii="Century Schoolbook" w:hAnsi="Century Schoolbook"/>
        </w:rPr>
        <w:t>See</w:t>
      </w:r>
      <w:r w:rsidRPr="00B73900">
        <w:rPr>
          <w:rFonts w:ascii="Century Schoolbook" w:hAnsi="Century Schoolbook"/>
          <w:i/>
        </w:rPr>
        <w:t xml:space="preserve"> </w:t>
      </w:r>
      <w:r w:rsidRPr="008F332E">
        <w:rPr>
          <w:rFonts w:ascii="Century Schoolbook" w:hAnsi="Century Schoolbook"/>
          <w:i/>
        </w:rPr>
        <w:t>Affymax</w:t>
      </w:r>
      <w:r w:rsidRPr="008F332E">
        <w:rPr>
          <w:rFonts w:ascii="Century Schoolbook" w:hAnsi="Century Schoolbook"/>
        </w:rPr>
        <w:t xml:space="preserve">, 660 F.3d </w:t>
      </w:r>
      <w:r>
        <w:rPr>
          <w:rFonts w:ascii="Century Schoolbook" w:hAnsi="Century Schoolbook"/>
        </w:rPr>
        <w:t>at</w:t>
      </w:r>
      <w:r w:rsidRPr="008F332E">
        <w:rPr>
          <w:rFonts w:ascii="Century Schoolbook" w:hAnsi="Century Schoolbook"/>
        </w:rPr>
        <w:t xml:space="preserve"> 284–285</w:t>
      </w:r>
      <w:r>
        <w:rPr>
          <w:rFonts w:ascii="Century Schoolbook" w:hAnsi="Century Schoolbook"/>
        </w:rPr>
        <w:fldChar w:fldCharType="begin"/>
      </w:r>
      <w:r w:rsidRPr="008F332E">
        <w:rPr>
          <w:rFonts w:ascii="Century Schoolbook" w:hAnsi="Century Schoolbook"/>
        </w:rPr>
        <w:instrText xml:space="preserve"> TA \l "</w:instrText>
      </w:r>
      <w:r w:rsidRPr="008F332E">
        <w:rPr>
          <w:rFonts w:ascii="Century Schoolbook" w:hAnsi="Century Schoolbook"/>
          <w:i/>
        </w:rPr>
        <w:instrText>Affymax, Inc. v. Ortho-McNeil-Janssen Pharm., Inc.</w:instrText>
      </w:r>
      <w:r w:rsidRPr="008F332E">
        <w:rPr>
          <w:rFonts w:ascii="Century Schoolbook" w:hAnsi="Century Schoolbook"/>
        </w:rPr>
        <w:instrText xml:space="preserve">, 660 F.3d 28 (7th Cir. 2011)" \s "Affymax, Inc. v. Ortho-McNeil-Janssen Pharm., Inc., 660 F.3d 281 (7th Cir. 2011)" \c 1 </w:instrText>
      </w:r>
      <w:r>
        <w:rPr>
          <w:rFonts w:ascii="Century Schoolbook" w:hAnsi="Century Schoolbook"/>
        </w:rPr>
        <w:fldChar w:fldCharType="end"/>
      </w:r>
      <w:r>
        <w:rPr>
          <w:rFonts w:ascii="Century Schoolbook" w:hAnsi="Century Schoolbook"/>
        </w:rPr>
        <w:t>;</w:t>
      </w:r>
      <w:r w:rsidR="006F3A17">
        <w:rPr>
          <w:rFonts w:ascii="Century Schoolbook" w:hAnsi="Century Schoolbook"/>
          <w:i/>
        </w:rPr>
        <w:t xml:space="preserve"> </w:t>
      </w:r>
      <w:r w:rsidRPr="008F332E">
        <w:rPr>
          <w:rFonts w:ascii="Century Schoolbook" w:hAnsi="Century Schoolbook"/>
          <w:i/>
        </w:rPr>
        <w:t>Medicine Shoppe</w:t>
      </w:r>
      <w:r w:rsidRPr="008F332E">
        <w:rPr>
          <w:rFonts w:ascii="Century Schoolbook" w:hAnsi="Century Schoolbook"/>
        </w:rPr>
        <w:t xml:space="preserve">, 614 F.3d </w:t>
      </w:r>
      <w:r>
        <w:rPr>
          <w:rFonts w:ascii="Century Schoolbook" w:hAnsi="Century Schoolbook"/>
        </w:rPr>
        <w:t>at</w:t>
      </w:r>
      <w:r w:rsidRPr="008F332E">
        <w:rPr>
          <w:rFonts w:ascii="Century Schoolbook" w:hAnsi="Century Schoolbook"/>
        </w:rPr>
        <w:t xml:space="preserve"> 489</w:t>
      </w:r>
      <w:r>
        <w:rPr>
          <w:rFonts w:ascii="Century Schoolbook" w:hAnsi="Century Schoolbook"/>
        </w:rPr>
        <w:fldChar w:fldCharType="begin"/>
      </w:r>
      <w:r w:rsidRPr="008F332E">
        <w:rPr>
          <w:rFonts w:ascii="Century Schoolbook" w:hAnsi="Century Schoolbook"/>
        </w:rPr>
        <w:instrText xml:space="preserve"> TA \l "</w:instrText>
      </w:r>
      <w:r w:rsidRPr="008F332E">
        <w:rPr>
          <w:rFonts w:ascii="Century Schoolbook" w:hAnsi="Century Schoolbook"/>
          <w:i/>
        </w:rPr>
        <w:instrText>Medicine Shoppe Intern., Inc. v. Turner Invest., Inc.</w:instrText>
      </w:r>
      <w:r w:rsidRPr="008F332E">
        <w:rPr>
          <w:rFonts w:ascii="Century Schoolbook" w:hAnsi="Century Schoolbook"/>
        </w:rPr>
        <w:instrText xml:space="preserve">, 614 F.3d 485 (8th Cir. 2010)" \s "Medicine Shoppe Intern., Inc. v. Turner Invest., Inc., 614 F.3d 485 (8th Cir. 2010)" \c 1 </w:instrText>
      </w:r>
      <w:r>
        <w:rPr>
          <w:rFonts w:ascii="Century Schoolbook" w:hAnsi="Century Schoolbook"/>
        </w:rPr>
        <w:fldChar w:fldCharType="end"/>
      </w:r>
      <w:r w:rsidRPr="008F332E">
        <w:rPr>
          <w:rFonts w:ascii="Century Schoolbook" w:hAnsi="Century Schoolbook"/>
        </w:rPr>
        <w:t xml:space="preserve">; </w:t>
      </w:r>
      <w:r w:rsidRPr="008F332E">
        <w:rPr>
          <w:rFonts w:ascii="Century Schoolbook" w:hAnsi="Century Schoolbook"/>
          <w:i/>
        </w:rPr>
        <w:t>Frazier</w:t>
      </w:r>
      <w:r w:rsidRPr="008F332E">
        <w:rPr>
          <w:rFonts w:ascii="Century Schoolbook" w:hAnsi="Century Schoolbook"/>
        </w:rPr>
        <w:t xml:space="preserve">, 604 F.3d </w:t>
      </w:r>
      <w:r>
        <w:rPr>
          <w:rFonts w:ascii="Century Schoolbook" w:hAnsi="Century Schoolbook"/>
        </w:rPr>
        <w:t>at</w:t>
      </w:r>
      <w:r w:rsidRPr="008F332E">
        <w:rPr>
          <w:rFonts w:ascii="Century Schoolbook" w:hAnsi="Century Schoolbook"/>
        </w:rPr>
        <w:t xml:space="preserve"> 1323–1324</w:t>
      </w:r>
      <w:r>
        <w:rPr>
          <w:rFonts w:ascii="Century Schoolbook" w:hAnsi="Century Schoolbook"/>
        </w:rPr>
        <w:fldChar w:fldCharType="begin"/>
      </w:r>
      <w:r w:rsidRPr="008F332E">
        <w:rPr>
          <w:rFonts w:ascii="Century Schoolbook" w:hAnsi="Century Schoolbook"/>
        </w:rPr>
        <w:instrText xml:space="preserve"> TA \l "</w:instrText>
      </w:r>
      <w:r w:rsidRPr="008F332E">
        <w:rPr>
          <w:rFonts w:ascii="Century Schoolbook" w:hAnsi="Century Schoolbook"/>
          <w:i/>
        </w:rPr>
        <w:instrText>Frazier v. CitiFinancial Corp., LLC</w:instrText>
      </w:r>
      <w:r w:rsidRPr="008F332E">
        <w:rPr>
          <w:rFonts w:ascii="Century Schoolbook" w:hAnsi="Century Schoolbook"/>
        </w:rPr>
        <w:instrText xml:space="preserve">, 604 F.3d 1313 (11th Cir. 2010)" \s "Frazier v. CitiFinancial Corp., LLC, 604 F.3d 1313 (11th Cir. 2010)" \c 1 </w:instrText>
      </w:r>
      <w:r>
        <w:rPr>
          <w:rFonts w:ascii="Century Schoolbook" w:hAnsi="Century Schoolbook"/>
        </w:rPr>
        <w:fldChar w:fldCharType="end"/>
      </w:r>
      <w:r w:rsidRPr="008F332E">
        <w:rPr>
          <w:rFonts w:ascii="Century Schoolbook" w:hAnsi="Century Schoolbook"/>
        </w:rPr>
        <w:t>.</w:t>
      </w:r>
      <w:r>
        <w:rPr>
          <w:rFonts w:ascii="Century Schoolbook" w:hAnsi="Century Schoolbook"/>
        </w:rPr>
        <w:t xml:space="preserve"> </w:t>
      </w:r>
    </w:p>
    <w:p w:rsidR="00A6798C" w:rsidRPr="00A6798C" w:rsidP="00A6798C">
      <w:pPr>
        <w:spacing w:line="480" w:lineRule="exact"/>
        <w:rPr>
          <w:rFonts w:ascii="Century Schoolbook" w:hAnsi="Century Schoolbook"/>
        </w:rPr>
      </w:pPr>
      <w:r>
        <w:rPr>
          <w:rFonts w:ascii="Century Schoolbook" w:hAnsi="Century Schoolbook"/>
        </w:rPr>
        <w:t>One final note, which is not intended as legal advice but only as something to consider: When</w:t>
      </w:r>
      <w:r w:rsidR="00B73900">
        <w:rPr>
          <w:rFonts w:ascii="Century Schoolbook" w:hAnsi="Century Schoolbook"/>
        </w:rPr>
        <w:t xml:space="preserve"> drafting contracts with arbitration agreements, parties might </w:t>
      </w:r>
      <w:r>
        <w:rPr>
          <w:rFonts w:ascii="Century Schoolbook" w:hAnsi="Century Schoolbook"/>
        </w:rPr>
        <w:t>want to</w:t>
      </w:r>
      <w:r w:rsidR="00B73900">
        <w:rPr>
          <w:rFonts w:ascii="Century Schoolbook" w:hAnsi="Century Schoolbook"/>
        </w:rPr>
        <w:t xml:space="preserve"> </w:t>
      </w:r>
      <w:r>
        <w:rPr>
          <w:rFonts w:ascii="Century Schoolbook" w:hAnsi="Century Schoolbook"/>
        </w:rPr>
        <w:t>not only identify the law that governs the agreement, but also require</w:t>
      </w:r>
      <w:r w:rsidR="00B73900">
        <w:rPr>
          <w:rFonts w:ascii="Century Schoolbook" w:hAnsi="Century Schoolbook"/>
        </w:rPr>
        <w:t xml:space="preserve"> the </w:t>
      </w:r>
      <w:r>
        <w:rPr>
          <w:rFonts w:ascii="Century Schoolbook" w:hAnsi="Century Schoolbook"/>
        </w:rPr>
        <w:t xml:space="preserve">designated </w:t>
      </w:r>
      <w:r w:rsidR="00B73900">
        <w:rPr>
          <w:rFonts w:ascii="Century Schoolbook" w:hAnsi="Century Schoolbook"/>
        </w:rPr>
        <w:t xml:space="preserve">arbitrator to apply </w:t>
      </w:r>
      <w:r>
        <w:rPr>
          <w:rFonts w:ascii="Century Schoolbook" w:hAnsi="Century Schoolbook"/>
        </w:rPr>
        <w:t>that body of law</w:t>
      </w:r>
      <w:r w:rsidR="00B56007">
        <w:rPr>
          <w:rFonts w:ascii="Century Schoolbook" w:hAnsi="Century Schoolbook"/>
        </w:rPr>
        <w:t xml:space="preserve"> in resolving a dispute between the parties</w:t>
      </w:r>
      <w:r>
        <w:rPr>
          <w:rFonts w:ascii="Century Schoolbook" w:hAnsi="Century Schoolbook"/>
        </w:rPr>
        <w:t>. It isn’t clear how this would play out in the courts. But on appeal from an adverse award, it might be easier to persuade the court that the arbitrator “exceeded his powers” under Section 10(a)(4), when</w:t>
      </w:r>
      <w:r w:rsidR="00B56007">
        <w:rPr>
          <w:rFonts w:ascii="Century Schoolbook" w:hAnsi="Century Schoolbook"/>
        </w:rPr>
        <w:t xml:space="preserve"> he manifestly disregarded the</w:t>
      </w:r>
      <w:r>
        <w:rPr>
          <w:rFonts w:ascii="Century Schoolbook" w:hAnsi="Century Schoolbook"/>
        </w:rPr>
        <w:t xml:space="preserve"> law, if a contractual provision required the arbitrator</w:t>
      </w:r>
      <w:r w:rsidR="00B56007">
        <w:rPr>
          <w:rFonts w:ascii="Century Schoolbook" w:hAnsi="Century Schoolbook"/>
        </w:rPr>
        <w:t xml:space="preserve"> to apply a certain body of</w:t>
      </w:r>
      <w:r>
        <w:rPr>
          <w:rFonts w:ascii="Century Schoolbook" w:hAnsi="Century Schoolbook"/>
        </w:rPr>
        <w:t xml:space="preserve"> law to the parties’ agreement.</w:t>
      </w:r>
    </w:p>
    <w:sectPr w:rsidSect="002059C6">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quity Text A">
    <w:altName w:val="Times New Roman"/>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0EC">
    <w:pPr>
      <w:pStyle w:val="Footer"/>
    </w:pPr>
    <w:r>
      <w:rPr>
        <w:noProof/>
      </w:rPr>
      <w:drawing>
        <wp:inline distT="0" distB="0" distL="0" distR="0">
          <wp:extent cx="1473200" cy="463550"/>
          <wp:effectExtent l="0" t="0" r="0" b="0"/>
          <wp:docPr id="30" name="Picture 30" descr="KT_Logo_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14489" name="Picture 20" descr="KT_Logo_Full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907" t="14285"/>
                  <a:stretch>
                    <a:fillRect/>
                  </a:stretch>
                </pic:blipFill>
                <pic:spPr bwMode="auto">
                  <a:xfrm>
                    <a:off x="0" y="0"/>
                    <a:ext cx="1473200" cy="4635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0EC" w:rsidP="00B540E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596555"/>
    <w:multiLevelType w:val="hybridMultilevel"/>
    <w:tmpl w:val="6290A23C"/>
    <w:lvl w:ilvl="0">
      <w:start w:val="1"/>
      <w:numFmt w:val="upperLetter"/>
      <w:pStyle w:val="Heading2"/>
      <w:lvlText w:val="%1."/>
      <w:lvlJc w:val="left"/>
      <w:pPr>
        <w:ind w:left="1296" w:hanging="360"/>
      </w:pPr>
      <w:rPr>
        <w:rFonts w:hint="default"/>
        <w:b/>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
    <w:nsid w:val="534123BE"/>
    <w:multiLevelType w:val="hybridMultilevel"/>
    <w:tmpl w:val="AF5AC2B0"/>
    <w:lvl w:ilvl="0">
      <w:start w:val="1"/>
      <w:numFmt w:val="upperLetter"/>
      <w:lvlText w:val="%1."/>
      <w:lvlJc w:val="left"/>
      <w:pPr>
        <w:ind w:left="1296" w:hanging="360"/>
      </w:pPr>
      <w:rPr>
        <w:rFonts w:hint="default"/>
        <w:b/>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
    <w:nsid w:val="65BA6D78"/>
    <w:multiLevelType w:val="hybridMultilevel"/>
    <w:tmpl w:val="8E664988"/>
    <w:lvl w:ilvl="0">
      <w:start w:val="1"/>
      <w:numFmt w:val="decimal"/>
      <w:pStyle w:val="Heading1"/>
      <w:lvlText w:val="%1."/>
      <w:lvlJc w:val="left"/>
      <w:pPr>
        <w:ind w:left="936" w:hanging="360"/>
      </w:pPr>
      <w:rPr>
        <w:rFonts w:hint="default"/>
        <w:b/>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num w:numId="1">
    <w:abstractNumId w:val="1"/>
  </w:num>
  <w:num w:numId="2">
    <w:abstractNumId w:val="2"/>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1B"/>
    <w:rsid w:val="000270AA"/>
    <w:rsid w:val="00036E1B"/>
    <w:rsid w:val="00043485"/>
    <w:rsid w:val="00053E94"/>
    <w:rsid w:val="000628AD"/>
    <w:rsid w:val="00064AB6"/>
    <w:rsid w:val="0007072E"/>
    <w:rsid w:val="000739F1"/>
    <w:rsid w:val="00075FF9"/>
    <w:rsid w:val="00077AC8"/>
    <w:rsid w:val="00080F25"/>
    <w:rsid w:val="000827DD"/>
    <w:rsid w:val="000D1C1E"/>
    <w:rsid w:val="000E4944"/>
    <w:rsid w:val="001010F7"/>
    <w:rsid w:val="00112970"/>
    <w:rsid w:val="00136336"/>
    <w:rsid w:val="00142FCC"/>
    <w:rsid w:val="0014349C"/>
    <w:rsid w:val="001A4EAB"/>
    <w:rsid w:val="001B639D"/>
    <w:rsid w:val="001D0CF4"/>
    <w:rsid w:val="001E03F2"/>
    <w:rsid w:val="002059C6"/>
    <w:rsid w:val="00210146"/>
    <w:rsid w:val="002355A3"/>
    <w:rsid w:val="002401C1"/>
    <w:rsid w:val="00245DAD"/>
    <w:rsid w:val="00285A72"/>
    <w:rsid w:val="00290E6F"/>
    <w:rsid w:val="0029579F"/>
    <w:rsid w:val="002A0E6A"/>
    <w:rsid w:val="002A196C"/>
    <w:rsid w:val="002B7A54"/>
    <w:rsid w:val="003032F6"/>
    <w:rsid w:val="003045B4"/>
    <w:rsid w:val="003046AB"/>
    <w:rsid w:val="00307D76"/>
    <w:rsid w:val="00311BD9"/>
    <w:rsid w:val="0031479A"/>
    <w:rsid w:val="003262ED"/>
    <w:rsid w:val="003352AE"/>
    <w:rsid w:val="00364E1B"/>
    <w:rsid w:val="003871EC"/>
    <w:rsid w:val="003A0D57"/>
    <w:rsid w:val="003B49CA"/>
    <w:rsid w:val="003B5BBD"/>
    <w:rsid w:val="003D19AC"/>
    <w:rsid w:val="003D2A41"/>
    <w:rsid w:val="00403BE6"/>
    <w:rsid w:val="00453932"/>
    <w:rsid w:val="00456C86"/>
    <w:rsid w:val="004A090F"/>
    <w:rsid w:val="004E6807"/>
    <w:rsid w:val="00501252"/>
    <w:rsid w:val="00504289"/>
    <w:rsid w:val="00505FF6"/>
    <w:rsid w:val="0056708A"/>
    <w:rsid w:val="00570CBF"/>
    <w:rsid w:val="005D12E3"/>
    <w:rsid w:val="005D145B"/>
    <w:rsid w:val="00602430"/>
    <w:rsid w:val="00620AC7"/>
    <w:rsid w:val="00636B0C"/>
    <w:rsid w:val="00640793"/>
    <w:rsid w:val="00646C0A"/>
    <w:rsid w:val="00651DB4"/>
    <w:rsid w:val="006544EE"/>
    <w:rsid w:val="00656AF1"/>
    <w:rsid w:val="006776BF"/>
    <w:rsid w:val="00694115"/>
    <w:rsid w:val="006F3A17"/>
    <w:rsid w:val="006F5C67"/>
    <w:rsid w:val="006F76CE"/>
    <w:rsid w:val="007449BA"/>
    <w:rsid w:val="00747670"/>
    <w:rsid w:val="007527B2"/>
    <w:rsid w:val="00782B3D"/>
    <w:rsid w:val="00792526"/>
    <w:rsid w:val="007C64A7"/>
    <w:rsid w:val="007E1163"/>
    <w:rsid w:val="00815A15"/>
    <w:rsid w:val="00834020"/>
    <w:rsid w:val="008534EB"/>
    <w:rsid w:val="008B347F"/>
    <w:rsid w:val="008B7E44"/>
    <w:rsid w:val="008D7217"/>
    <w:rsid w:val="008F1EF0"/>
    <w:rsid w:val="008F332E"/>
    <w:rsid w:val="008F7150"/>
    <w:rsid w:val="00901255"/>
    <w:rsid w:val="0092282B"/>
    <w:rsid w:val="00934519"/>
    <w:rsid w:val="009736A3"/>
    <w:rsid w:val="0097607F"/>
    <w:rsid w:val="009A2A19"/>
    <w:rsid w:val="009A3AF9"/>
    <w:rsid w:val="009D349E"/>
    <w:rsid w:val="009F360C"/>
    <w:rsid w:val="00A30EA7"/>
    <w:rsid w:val="00A4590B"/>
    <w:rsid w:val="00A6798C"/>
    <w:rsid w:val="00A710CD"/>
    <w:rsid w:val="00A720AE"/>
    <w:rsid w:val="00A74BA5"/>
    <w:rsid w:val="00AE1B14"/>
    <w:rsid w:val="00B057C3"/>
    <w:rsid w:val="00B540EC"/>
    <w:rsid w:val="00B54766"/>
    <w:rsid w:val="00B56007"/>
    <w:rsid w:val="00B60CB5"/>
    <w:rsid w:val="00B64A76"/>
    <w:rsid w:val="00B70F18"/>
    <w:rsid w:val="00B73900"/>
    <w:rsid w:val="00B75174"/>
    <w:rsid w:val="00BA0F31"/>
    <w:rsid w:val="00BA1AB2"/>
    <w:rsid w:val="00BD5338"/>
    <w:rsid w:val="00BF10E1"/>
    <w:rsid w:val="00BF2033"/>
    <w:rsid w:val="00C026D1"/>
    <w:rsid w:val="00C12BF6"/>
    <w:rsid w:val="00CC7491"/>
    <w:rsid w:val="00CE4308"/>
    <w:rsid w:val="00D01E5C"/>
    <w:rsid w:val="00D30916"/>
    <w:rsid w:val="00D962F6"/>
    <w:rsid w:val="00DD2E7C"/>
    <w:rsid w:val="00DE2278"/>
    <w:rsid w:val="00DE5384"/>
    <w:rsid w:val="00DE7024"/>
    <w:rsid w:val="00DE72F0"/>
    <w:rsid w:val="00E05343"/>
    <w:rsid w:val="00EB3E33"/>
    <w:rsid w:val="00EB6F92"/>
    <w:rsid w:val="00EB76C7"/>
    <w:rsid w:val="00EC56F5"/>
    <w:rsid w:val="00EE46B7"/>
    <w:rsid w:val="00EE60F6"/>
    <w:rsid w:val="00EF4565"/>
    <w:rsid w:val="00F27488"/>
    <w:rsid w:val="00F3658F"/>
    <w:rsid w:val="00F55597"/>
    <w:rsid w:val="00F70DB5"/>
    <w:rsid w:val="00FE0953"/>
    <w:rsid w:val="00FE3AFF"/>
    <w:rsid w:val="00FF3004"/>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485"/>
    <w:pPr>
      <w:spacing w:after="0" w:line="360" w:lineRule="exact"/>
      <w:ind w:firstLine="576"/>
    </w:pPr>
    <w:rPr>
      <w:rFonts w:ascii="Equity Text A" w:hAnsi="Equity Text A"/>
    </w:rPr>
  </w:style>
  <w:style w:type="paragraph" w:styleId="Heading1">
    <w:name w:val="heading 1"/>
    <w:basedOn w:val="Normal"/>
    <w:next w:val="Normal"/>
    <w:link w:val="Heading1Char"/>
    <w:uiPriority w:val="9"/>
    <w:qFormat/>
    <w:rsid w:val="00F27488"/>
    <w:pPr>
      <w:keepNext/>
      <w:keepLines/>
      <w:numPr>
        <w:numId w:val="5"/>
      </w:numPr>
      <w:spacing w:before="240" w:after="120" w:line="240" w:lineRule="auto"/>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C64A7"/>
    <w:pPr>
      <w:keepNext/>
      <w:keepLines/>
      <w:numPr>
        <w:numId w:val="3"/>
      </w:numPr>
      <w:spacing w:before="240" w:after="120" w:line="240" w:lineRule="auto"/>
      <w:jc w:val="both"/>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4A7"/>
    <w:rPr>
      <w:rFonts w:eastAsiaTheme="majorEastAsia" w:cstheme="majorBidi"/>
      <w:b/>
      <w:bCs/>
      <w:szCs w:val="26"/>
    </w:rPr>
  </w:style>
  <w:style w:type="character" w:customStyle="1" w:styleId="Heading1Char">
    <w:name w:val="Heading 1 Char"/>
    <w:basedOn w:val="DefaultParagraphFont"/>
    <w:link w:val="Heading1"/>
    <w:uiPriority w:val="9"/>
    <w:rsid w:val="00F27488"/>
    <w:rPr>
      <w:rFonts w:ascii="Equity Text A" w:hAnsi="Equity Text A" w:eastAsiaTheme="majorEastAsia" w:cstheme="majorBidi"/>
      <w:b/>
      <w:bCs/>
      <w:szCs w:val="28"/>
    </w:rPr>
  </w:style>
  <w:style w:type="paragraph" w:styleId="FootnoteText">
    <w:name w:val="footnote text"/>
    <w:basedOn w:val="Normal"/>
    <w:link w:val="FootnoteTextChar"/>
    <w:uiPriority w:val="99"/>
    <w:semiHidden/>
    <w:unhideWhenUsed/>
    <w:rsid w:val="007C64A7"/>
    <w:pPr>
      <w:spacing w:line="240" w:lineRule="auto"/>
      <w:ind w:left="432" w:hanging="432"/>
      <w:jc w:val="both"/>
    </w:pPr>
    <w:rPr>
      <w:sz w:val="20"/>
      <w:szCs w:val="20"/>
    </w:rPr>
  </w:style>
  <w:style w:type="character" w:customStyle="1" w:styleId="FootnoteTextChar">
    <w:name w:val="Footnote Text Char"/>
    <w:basedOn w:val="DefaultParagraphFont"/>
    <w:link w:val="FootnoteText"/>
    <w:uiPriority w:val="99"/>
    <w:semiHidden/>
    <w:rsid w:val="007C64A7"/>
    <w:rPr>
      <w:sz w:val="20"/>
      <w:szCs w:val="20"/>
    </w:rPr>
  </w:style>
  <w:style w:type="paragraph" w:styleId="BalloonText">
    <w:name w:val="Balloon Text"/>
    <w:basedOn w:val="Normal"/>
    <w:link w:val="BalloonTextChar"/>
    <w:uiPriority w:val="99"/>
    <w:semiHidden/>
    <w:unhideWhenUsed/>
    <w:rsid w:val="001363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36"/>
    <w:rPr>
      <w:rFonts w:ascii="Tahoma" w:hAnsi="Tahoma" w:cs="Tahoma"/>
      <w:sz w:val="16"/>
      <w:szCs w:val="16"/>
    </w:rPr>
  </w:style>
  <w:style w:type="character" w:styleId="CommentReference">
    <w:name w:val="annotation reference"/>
    <w:basedOn w:val="DefaultParagraphFont"/>
    <w:uiPriority w:val="99"/>
    <w:semiHidden/>
    <w:unhideWhenUsed/>
    <w:rsid w:val="008F1EF0"/>
    <w:rPr>
      <w:sz w:val="16"/>
      <w:szCs w:val="16"/>
    </w:rPr>
  </w:style>
  <w:style w:type="paragraph" w:styleId="CommentText">
    <w:name w:val="annotation text"/>
    <w:basedOn w:val="Normal"/>
    <w:link w:val="CommentTextChar"/>
    <w:uiPriority w:val="99"/>
    <w:semiHidden/>
    <w:unhideWhenUsed/>
    <w:rsid w:val="008F1EF0"/>
    <w:pPr>
      <w:spacing w:line="240" w:lineRule="auto"/>
    </w:pPr>
    <w:rPr>
      <w:sz w:val="20"/>
      <w:szCs w:val="20"/>
    </w:rPr>
  </w:style>
  <w:style w:type="character" w:customStyle="1" w:styleId="CommentTextChar">
    <w:name w:val="Comment Text Char"/>
    <w:basedOn w:val="DefaultParagraphFont"/>
    <w:link w:val="CommentText"/>
    <w:uiPriority w:val="99"/>
    <w:semiHidden/>
    <w:rsid w:val="008F1EF0"/>
    <w:rPr>
      <w:rFonts w:ascii="Equity Text A" w:hAnsi="Equity Text A"/>
      <w:sz w:val="20"/>
      <w:szCs w:val="20"/>
    </w:rPr>
  </w:style>
  <w:style w:type="paragraph" w:styleId="CommentSubject">
    <w:name w:val="annotation subject"/>
    <w:basedOn w:val="CommentText"/>
    <w:next w:val="CommentText"/>
    <w:link w:val="CommentSubjectChar"/>
    <w:uiPriority w:val="99"/>
    <w:semiHidden/>
    <w:unhideWhenUsed/>
    <w:rsid w:val="008F1EF0"/>
    <w:rPr>
      <w:b/>
      <w:bCs/>
    </w:rPr>
  </w:style>
  <w:style w:type="character" w:customStyle="1" w:styleId="CommentSubjectChar">
    <w:name w:val="Comment Subject Char"/>
    <w:basedOn w:val="CommentTextChar"/>
    <w:link w:val="CommentSubject"/>
    <w:uiPriority w:val="99"/>
    <w:semiHidden/>
    <w:rsid w:val="008F1EF0"/>
    <w:rPr>
      <w:rFonts w:ascii="Equity Text A" w:hAnsi="Equity Text A"/>
      <w:b/>
      <w:bCs/>
      <w:sz w:val="20"/>
      <w:szCs w:val="20"/>
    </w:rPr>
  </w:style>
  <w:style w:type="paragraph" w:styleId="Header">
    <w:name w:val="header"/>
    <w:basedOn w:val="Normal"/>
    <w:link w:val="HeaderChar"/>
    <w:uiPriority w:val="99"/>
    <w:unhideWhenUsed/>
    <w:rsid w:val="00B540EC"/>
    <w:pPr>
      <w:tabs>
        <w:tab w:val="center" w:pos="4680"/>
        <w:tab w:val="right" w:pos="9360"/>
      </w:tabs>
      <w:spacing w:line="240" w:lineRule="auto"/>
    </w:pPr>
  </w:style>
  <w:style w:type="character" w:customStyle="1" w:styleId="HeaderChar">
    <w:name w:val="Header Char"/>
    <w:basedOn w:val="DefaultParagraphFont"/>
    <w:link w:val="Header"/>
    <w:uiPriority w:val="99"/>
    <w:rsid w:val="00B540EC"/>
    <w:rPr>
      <w:rFonts w:ascii="Equity Text A" w:hAnsi="Equity Text A"/>
    </w:rPr>
  </w:style>
  <w:style w:type="paragraph" w:styleId="Footer">
    <w:name w:val="footer"/>
    <w:basedOn w:val="Normal"/>
    <w:link w:val="FooterChar"/>
    <w:uiPriority w:val="99"/>
    <w:unhideWhenUsed/>
    <w:rsid w:val="00B540EC"/>
    <w:pPr>
      <w:tabs>
        <w:tab w:val="center" w:pos="4680"/>
        <w:tab w:val="right" w:pos="9360"/>
      </w:tabs>
      <w:spacing w:line="240" w:lineRule="auto"/>
    </w:pPr>
  </w:style>
  <w:style w:type="character" w:customStyle="1" w:styleId="FooterChar">
    <w:name w:val="Footer Char"/>
    <w:basedOn w:val="DefaultParagraphFont"/>
    <w:link w:val="Footer"/>
    <w:uiPriority w:val="99"/>
    <w:rsid w:val="00B540EC"/>
    <w:rPr>
      <w:rFonts w:ascii="Equity Text A" w:hAnsi="Equity Text 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7682</Characters>
  <Application>Microsoft Office Word</Application>
  <DocSecurity>0</DocSecurity>
  <Lines>307</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2019-07-26T15:23:22Z</dcterms:created>
  <dcterms:modified xsi:type="dcterms:W3CDTF">2019-07-26T15:23:22Z</dcterms:modified>
</cp:coreProperties>
</file>